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65819" w14:textId="1265D1A9" w:rsidR="003458A8" w:rsidRPr="00AD2C97" w:rsidRDefault="003458A8" w:rsidP="003458A8">
      <w:pPr>
        <w:jc w:val="center"/>
        <w:rPr>
          <w:rFonts w:ascii="Noto Sans" w:hAnsi="Noto Sans" w:cs="Noto Sans"/>
          <w:b/>
        </w:rPr>
      </w:pPr>
      <w:r w:rsidRPr="00AD2C97">
        <w:rPr>
          <w:rFonts w:ascii="Noto Sans" w:hAnsi="Noto Sans" w:cs="Noto Sans"/>
          <w:b/>
        </w:rPr>
        <w:t xml:space="preserve">Consulta pública del proyecto de disposiciones para modificar la circular 3/2012 </w:t>
      </w:r>
    </w:p>
    <w:p w14:paraId="4FCD7C43" w14:textId="6E5E5B18" w:rsidR="001C5C4C" w:rsidRPr="00AD2C97" w:rsidRDefault="001C5C4C" w:rsidP="001C5C4C">
      <w:pPr>
        <w:jc w:val="both"/>
        <w:rPr>
          <w:rFonts w:ascii="Noto Sans" w:hAnsi="Noto Sans" w:cs="Noto Sans"/>
          <w:b/>
        </w:rPr>
      </w:pPr>
      <w:r w:rsidRPr="00AD2C97">
        <w:rPr>
          <w:rFonts w:ascii="Noto Sans" w:hAnsi="Noto Sans" w:cs="Noto Sans"/>
          <w:b/>
        </w:rPr>
        <w:t xml:space="preserve">Operaciones de las instituciones de crédito, las sociedades financieras de objeto múltiple reguladas que mantengan vínculos patrimoniales con instituciones de crédito y la Financiera Nacional de Desarrollo Agropecuario, Rural, Forestal y Pesquero </w:t>
      </w:r>
      <w:r w:rsidRPr="00AD2C97">
        <w:rPr>
          <w:rFonts w:ascii="Noto Sans" w:hAnsi="Noto Sans" w:cs="Noto Sans"/>
          <w:b/>
          <w:color w:val="FF0000"/>
        </w:rPr>
        <w:t>[Valorar si se solicita incorporar a FINABIEN</w:t>
      </w:r>
      <w:r w:rsidR="00AD2C97">
        <w:rPr>
          <w:rFonts w:ascii="Noto Sans" w:hAnsi="Noto Sans" w:cs="Noto Sans"/>
          <w:b/>
          <w:color w:val="FF0000"/>
        </w:rPr>
        <w:t xml:space="preserve"> una vez que se cuente con las atribuciones como institución que otorga crédito</w:t>
      </w:r>
      <w:r w:rsidRPr="00AD2C97">
        <w:rPr>
          <w:rFonts w:ascii="Noto Sans" w:hAnsi="Noto Sans" w:cs="Noto Sans"/>
          <w:b/>
          <w:color w:val="FF0000"/>
        </w:rPr>
        <w:t>]</w:t>
      </w:r>
    </w:p>
    <w:p w14:paraId="3FB7CC15" w14:textId="3052FD10" w:rsidR="002505E4" w:rsidRPr="00AD2C97" w:rsidRDefault="001C5C4C" w:rsidP="001C5C4C">
      <w:pPr>
        <w:jc w:val="both"/>
        <w:rPr>
          <w:rFonts w:ascii="Noto Sans" w:hAnsi="Noto Sans" w:cs="Noto Sans"/>
        </w:rPr>
      </w:pPr>
      <w:r w:rsidRPr="00AD2C97">
        <w:rPr>
          <w:rFonts w:ascii="Noto Sans" w:hAnsi="Noto Sans" w:cs="Noto Sans"/>
          <w:bCs/>
        </w:rPr>
        <w:t>La circular 3/2012</w:t>
      </w:r>
      <w:r w:rsidR="002505E4" w:rsidRPr="00AD2C97">
        <w:rPr>
          <w:rFonts w:ascii="Noto Sans" w:hAnsi="Noto Sans" w:cs="Noto Sans"/>
          <w:bCs/>
        </w:rPr>
        <w:t xml:space="preserve"> </w:t>
      </w:r>
      <w:r w:rsidR="002505E4" w:rsidRPr="00AD2C97">
        <w:rPr>
          <w:rFonts w:ascii="Noto Sans" w:hAnsi="Noto Sans" w:cs="Noto Sans"/>
        </w:rPr>
        <w:t>NIVELES DE OPERACIÓN DE CUENTAS DE DEPÓSITO A LA VISTA</w:t>
      </w:r>
    </w:p>
    <w:p w14:paraId="29DEF8A8" w14:textId="068FB61C" w:rsidR="002505E4" w:rsidRPr="00AD2C97" w:rsidRDefault="002505E4" w:rsidP="001C5C4C">
      <w:pPr>
        <w:jc w:val="both"/>
        <w:rPr>
          <w:rFonts w:ascii="Noto Sans" w:hAnsi="Noto Sans" w:cs="Noto Sans"/>
        </w:rPr>
      </w:pPr>
      <w:r w:rsidRPr="00AD2C97">
        <w:rPr>
          <w:rFonts w:ascii="Noto Sans" w:hAnsi="Noto Sans" w:cs="Noto Sans"/>
        </w:rPr>
        <w:t>Objetivo de la modificación: aumentar el número de niveles de operación de las cuentas de depósito a la vista denominadas en moneda nacional, de forma que los usuarios del sistema financiero cuenten con más alternativas que se puedan adaptar a sus necesidades, al mismo tiempo que se incentiva el uso de las transferencias electrónicas de fondos y la aceptación de pagos con tarjetas.</w:t>
      </w:r>
    </w:p>
    <w:p w14:paraId="6294EAD6" w14:textId="77777777" w:rsidR="002505E4" w:rsidRPr="00AD2C97" w:rsidRDefault="002505E4" w:rsidP="001F680E">
      <w:pPr>
        <w:pStyle w:val="Prrafodelista"/>
        <w:numPr>
          <w:ilvl w:val="0"/>
          <w:numId w:val="1"/>
        </w:numPr>
        <w:jc w:val="both"/>
        <w:rPr>
          <w:rFonts w:ascii="Noto Sans" w:hAnsi="Noto Sans" w:cs="Noto Sans"/>
          <w:bCs/>
        </w:rPr>
      </w:pPr>
      <w:r w:rsidRPr="00AD2C97">
        <w:rPr>
          <w:rFonts w:ascii="Noto Sans" w:hAnsi="Noto Sans" w:cs="Noto Sans"/>
          <w:bCs/>
        </w:rPr>
        <w:t xml:space="preserve">Banxico propone agregar un nuevo nivel de cuenta: 3bis que tiene como característica en monto máximo de </w:t>
      </w:r>
      <w:r w:rsidR="002A53D5" w:rsidRPr="00AD2C97">
        <w:rPr>
          <w:rFonts w:ascii="Noto Sans" w:hAnsi="Noto Sans" w:cs="Noto Sans"/>
        </w:rPr>
        <w:t xml:space="preserve">15,000 </w:t>
      </w:r>
      <w:proofErr w:type="spellStart"/>
      <w:r w:rsidR="002A53D5" w:rsidRPr="00AD2C97">
        <w:rPr>
          <w:rFonts w:ascii="Noto Sans" w:hAnsi="Noto Sans" w:cs="Noto Sans"/>
        </w:rPr>
        <w:t>UDIs</w:t>
      </w:r>
      <w:proofErr w:type="spellEnd"/>
      <w:r w:rsidR="002A53D5" w:rsidRPr="00AD2C97">
        <w:rPr>
          <w:rFonts w:ascii="Noto Sans" w:hAnsi="Noto Sans" w:cs="Noto Sans"/>
        </w:rPr>
        <w:t xml:space="preserve"> ($131,700 pesos), de los cuales únicamente 3,000 </w:t>
      </w:r>
      <w:proofErr w:type="spellStart"/>
      <w:r w:rsidR="002A53D5" w:rsidRPr="00AD2C97">
        <w:rPr>
          <w:rFonts w:ascii="Noto Sans" w:hAnsi="Noto Sans" w:cs="Noto Sans"/>
        </w:rPr>
        <w:t>UDIs</w:t>
      </w:r>
      <w:proofErr w:type="spellEnd"/>
      <w:r w:rsidR="002A53D5" w:rsidRPr="00AD2C97">
        <w:rPr>
          <w:rFonts w:ascii="Noto Sans" w:hAnsi="Noto Sans" w:cs="Noto Sans"/>
        </w:rPr>
        <w:t xml:space="preserve"> </w:t>
      </w:r>
      <w:r w:rsidR="009E35A1" w:rsidRPr="00AD2C97">
        <w:rPr>
          <w:rFonts w:ascii="Noto Sans" w:hAnsi="Noto Sans" w:cs="Noto Sans"/>
        </w:rPr>
        <w:t>($26,340 pesos) c</w:t>
      </w:r>
      <w:r w:rsidR="002A53D5" w:rsidRPr="00AD2C97">
        <w:rPr>
          <w:rFonts w:ascii="Noto Sans" w:hAnsi="Noto Sans" w:cs="Noto Sans"/>
        </w:rPr>
        <w:t>orresponder a la recepción de recursos en efectivo para abono en Cuenta</w:t>
      </w:r>
      <w:r w:rsidR="009E35A1" w:rsidRPr="00AD2C97">
        <w:rPr>
          <w:rFonts w:ascii="Noto Sans" w:hAnsi="Noto Sans" w:cs="Noto Sans"/>
        </w:rPr>
        <w:t>)</w:t>
      </w:r>
      <w:r w:rsidRPr="00AD2C97">
        <w:rPr>
          <w:rFonts w:ascii="Noto Sans" w:hAnsi="Noto Sans" w:cs="Noto Sans"/>
        </w:rPr>
        <w:t>.</w:t>
      </w:r>
    </w:p>
    <w:p w14:paraId="45297759" w14:textId="48986C70" w:rsidR="009003DC" w:rsidRDefault="002505E4" w:rsidP="009003DC">
      <w:pPr>
        <w:pStyle w:val="Prrafodelista"/>
        <w:jc w:val="both"/>
        <w:rPr>
          <w:rFonts w:ascii="Noto Sans" w:hAnsi="Noto Sans" w:cs="Noto Sans"/>
          <w:color w:val="FF0000"/>
        </w:rPr>
      </w:pPr>
      <w:r w:rsidRPr="00AD2C97">
        <w:rPr>
          <w:rFonts w:ascii="Noto Sans" w:hAnsi="Noto Sans" w:cs="Noto Sans"/>
          <w:color w:val="FF0000"/>
        </w:rPr>
        <w:t xml:space="preserve">Comentarios FINABIEN: </w:t>
      </w:r>
      <w:r w:rsidR="009E35A1" w:rsidRPr="00AD2C97">
        <w:rPr>
          <w:rFonts w:ascii="Noto Sans" w:hAnsi="Noto Sans" w:cs="Noto Sans"/>
          <w:color w:val="FF0000"/>
        </w:rPr>
        <w:t xml:space="preserve">Se busca con esta cuenta que los comercios cuenten con un nivel de cuenta que les permita cobrar por transferencias con mayor </w:t>
      </w:r>
      <w:r w:rsidR="003A7BD1" w:rsidRPr="00AD2C97">
        <w:rPr>
          <w:rFonts w:ascii="Noto Sans" w:hAnsi="Noto Sans" w:cs="Noto Sans"/>
          <w:color w:val="FF0000"/>
        </w:rPr>
        <w:t>holgura</w:t>
      </w:r>
      <w:r w:rsidR="009E35A1" w:rsidRPr="00AD2C97">
        <w:rPr>
          <w:rFonts w:ascii="Noto Sans" w:hAnsi="Noto Sans" w:cs="Noto Sans"/>
          <w:color w:val="FF0000"/>
        </w:rPr>
        <w:t xml:space="preserve"> a la que ofrecen las cuentas 2 y 3.</w:t>
      </w:r>
      <w:r w:rsidR="009003DC" w:rsidRPr="00AD2C97">
        <w:rPr>
          <w:rFonts w:ascii="Noto Sans" w:hAnsi="Noto Sans" w:cs="Noto Sans"/>
          <w:color w:val="FF0000"/>
        </w:rPr>
        <w:t xml:space="preserve"> Esta medida no incentiva a que los comerciantes opten por digitalizar debido a que el efectivo actualmente les permite mantener una parte de ingreso (50 a 60%) sin reportarlo a la autoridad fiscalizadora. Por ello, la circular debe ser complementada: a) con una política del SAT dirigida a micronegocios para fomentar su regulación y disminuir su carga fiscal, así como b) un análisis y consecuentemente medidas sobre el impacto de las reformas laborales en los ingresos de las pequeñas y micros.</w:t>
      </w:r>
    </w:p>
    <w:p w14:paraId="58001BDD" w14:textId="77777777" w:rsidR="000A2CC4" w:rsidRPr="00AD2C97" w:rsidRDefault="000A2CC4" w:rsidP="009003DC">
      <w:pPr>
        <w:pStyle w:val="Prrafodelista"/>
        <w:jc w:val="both"/>
        <w:rPr>
          <w:rFonts w:ascii="Noto Sans" w:hAnsi="Noto Sans" w:cs="Noto Sans"/>
          <w:color w:val="FF0000"/>
        </w:rPr>
      </w:pPr>
    </w:p>
    <w:p w14:paraId="32B7D72F" w14:textId="6CD2CD70" w:rsidR="009E35A1" w:rsidRPr="00AD2C97" w:rsidRDefault="00382FE6" w:rsidP="00B201FC">
      <w:pPr>
        <w:pStyle w:val="Prrafodelista"/>
        <w:numPr>
          <w:ilvl w:val="0"/>
          <w:numId w:val="1"/>
        </w:numPr>
        <w:jc w:val="both"/>
        <w:rPr>
          <w:rFonts w:ascii="Noto Sans" w:hAnsi="Noto Sans" w:cs="Noto Sans"/>
          <w:bCs/>
        </w:rPr>
      </w:pPr>
      <w:r w:rsidRPr="00AD2C97">
        <w:rPr>
          <w:rFonts w:ascii="Noto Sans" w:hAnsi="Noto Sans" w:cs="Noto Sans"/>
        </w:rPr>
        <w:t xml:space="preserve">Las cuentas </w:t>
      </w:r>
      <w:r w:rsidR="003A7BD1" w:rsidRPr="00AD2C97">
        <w:rPr>
          <w:rFonts w:ascii="Noto Sans" w:hAnsi="Noto Sans" w:cs="Noto Sans"/>
        </w:rPr>
        <w:t>3</w:t>
      </w:r>
      <w:r w:rsidRPr="00AD2C97">
        <w:rPr>
          <w:rFonts w:ascii="Noto Sans" w:hAnsi="Noto Sans" w:cs="Noto Sans"/>
        </w:rPr>
        <w:t>bis sólo</w:t>
      </w:r>
      <w:r w:rsidR="003A7BD1" w:rsidRPr="00AD2C97">
        <w:rPr>
          <w:rFonts w:ascii="Noto Sans" w:hAnsi="Noto Sans" w:cs="Noto Sans"/>
        </w:rPr>
        <w:t xml:space="preserve"> podrán ser abiertas por personas físicas de nacionalidad mexicana con residencia en territorio nacional. </w:t>
      </w:r>
    </w:p>
    <w:p w14:paraId="456C8D4B" w14:textId="20683CBE" w:rsidR="002961C1" w:rsidRPr="00AD2C97" w:rsidRDefault="002961C1" w:rsidP="002961C1">
      <w:pPr>
        <w:pStyle w:val="Prrafodelista"/>
        <w:jc w:val="both"/>
        <w:rPr>
          <w:rFonts w:ascii="Noto Sans" w:hAnsi="Noto Sans" w:cs="Noto Sans"/>
          <w:color w:val="FF0000"/>
        </w:rPr>
      </w:pPr>
      <w:r w:rsidRPr="00AD2C97">
        <w:rPr>
          <w:rFonts w:ascii="Noto Sans" w:hAnsi="Noto Sans" w:cs="Noto Sans"/>
          <w:color w:val="FF0000"/>
        </w:rPr>
        <w:t>Comentarios FINABIEN: Promover que el Banco de México reconozca el derecho al asilo político y refugio por razones humanitarias por lo que se incorpore que personas con “residencia permanente por razones humanitarias” y “tarjeta de visitante por razones humanitarias” permitiéndoles abrir cuentas.</w:t>
      </w:r>
    </w:p>
    <w:p w14:paraId="40894F1F" w14:textId="23D76CBA" w:rsidR="002961C1" w:rsidRDefault="002961C1" w:rsidP="002961C1">
      <w:pPr>
        <w:pStyle w:val="Prrafodelista"/>
        <w:jc w:val="both"/>
        <w:rPr>
          <w:rFonts w:ascii="Noto Sans" w:hAnsi="Noto Sans" w:cs="Noto Sans"/>
          <w:color w:val="FF0000"/>
        </w:rPr>
      </w:pPr>
      <w:r w:rsidRPr="00AD2C97">
        <w:rPr>
          <w:rFonts w:ascii="Noto Sans" w:hAnsi="Noto Sans" w:cs="Noto Sans"/>
          <w:color w:val="FF0000"/>
        </w:rPr>
        <w:t xml:space="preserve">Los bancos argumentan que es costoso en términos de infraestructura reconocer este derecho. No obstante que se podría resolver indicando al Instituto Nacional de Migración que pueda dar acceso a su base de datos. Es importante considerar que no se trata de un volumen masivo, sino de un universo de </w:t>
      </w:r>
      <w:r w:rsidR="00AD2C97">
        <w:rPr>
          <w:rFonts w:ascii="Noto Sans" w:hAnsi="Noto Sans" w:cs="Noto Sans"/>
          <w:color w:val="FF0000"/>
        </w:rPr>
        <w:t>465</w:t>
      </w:r>
      <w:r w:rsidR="00AD2C97" w:rsidRPr="00AD2C97">
        <w:rPr>
          <w:rFonts w:ascii="Noto Sans" w:hAnsi="Noto Sans" w:cs="Noto Sans"/>
          <w:color w:val="FF0000"/>
        </w:rPr>
        <w:t>,</w:t>
      </w:r>
      <w:r w:rsidR="00AD2C97">
        <w:rPr>
          <w:rFonts w:ascii="Noto Sans" w:hAnsi="Noto Sans" w:cs="Noto Sans"/>
          <w:color w:val="FF0000"/>
        </w:rPr>
        <w:t>917</w:t>
      </w:r>
      <w:r w:rsidR="00AD2C97" w:rsidRPr="00AD2C97">
        <w:rPr>
          <w:rFonts w:ascii="Noto Sans" w:hAnsi="Noto Sans" w:cs="Noto Sans"/>
          <w:color w:val="FF0000"/>
        </w:rPr>
        <w:t>7 visitantes por razones humanitarias</w:t>
      </w:r>
      <w:r w:rsidR="00AD2C97">
        <w:rPr>
          <w:rFonts w:ascii="Noto Sans" w:hAnsi="Noto Sans" w:cs="Noto Sans"/>
          <w:color w:val="FF0000"/>
        </w:rPr>
        <w:t xml:space="preserve"> y según SEGOB </w:t>
      </w:r>
      <w:r w:rsidR="00AD2C97">
        <w:rPr>
          <w:rFonts w:ascii="Noto Sans" w:hAnsi="Noto Sans" w:cs="Noto Sans"/>
          <w:color w:val="FF0000"/>
        </w:rPr>
        <w:lastRenderedPageBreak/>
        <w:t>existen 153,144 residentes permanentes por razones humanitarias</w:t>
      </w:r>
      <w:r w:rsidR="00AD2C97" w:rsidRPr="00AD2C97">
        <w:rPr>
          <w:rFonts w:ascii="Noto Sans" w:hAnsi="Noto Sans" w:cs="Noto Sans"/>
          <w:color w:val="FF0000"/>
        </w:rPr>
        <w:t xml:space="preserve">. </w:t>
      </w:r>
      <w:r w:rsidR="00AD2C97">
        <w:rPr>
          <w:rFonts w:ascii="Noto Sans" w:hAnsi="Noto Sans" w:cs="Noto Sans"/>
          <w:color w:val="FF0000"/>
        </w:rPr>
        <w:t>Esto se resuelve con una API, del mismo modo que se hace con el INE.</w:t>
      </w:r>
    </w:p>
    <w:p w14:paraId="218CE649" w14:textId="77777777" w:rsidR="000A2CC4" w:rsidRPr="00AD2C97" w:rsidRDefault="000A2CC4" w:rsidP="002961C1">
      <w:pPr>
        <w:pStyle w:val="Prrafodelista"/>
        <w:jc w:val="both"/>
        <w:rPr>
          <w:rFonts w:ascii="Noto Sans" w:hAnsi="Noto Sans" w:cs="Noto Sans"/>
          <w:bCs/>
          <w:color w:val="FF0000"/>
        </w:rPr>
      </w:pPr>
    </w:p>
    <w:p w14:paraId="7F383A59" w14:textId="6B52EAC5" w:rsidR="00712168" w:rsidRPr="000A2CC4" w:rsidRDefault="002961C1" w:rsidP="0040068F">
      <w:pPr>
        <w:pStyle w:val="Prrafodelista"/>
        <w:numPr>
          <w:ilvl w:val="0"/>
          <w:numId w:val="1"/>
        </w:numPr>
        <w:jc w:val="both"/>
        <w:rPr>
          <w:rFonts w:ascii="Noto Sans" w:hAnsi="Noto Sans" w:cs="Noto Sans"/>
          <w:bCs/>
        </w:rPr>
      </w:pPr>
      <w:r w:rsidRPr="00AD2C97">
        <w:rPr>
          <w:rFonts w:ascii="Noto Sans" w:hAnsi="Noto Sans" w:cs="Noto Sans"/>
          <w:color w:val="FF0000"/>
        </w:rPr>
        <w:t xml:space="preserve">Comentarios FINABIEN: </w:t>
      </w:r>
      <w:r w:rsidR="009E35A1" w:rsidRPr="00AD2C97">
        <w:rPr>
          <w:rFonts w:ascii="Noto Sans" w:hAnsi="Noto Sans" w:cs="Noto Sans"/>
          <w:color w:val="FF0000"/>
        </w:rPr>
        <w:t>Banxico debería valorar la posibilidad de incluir los requisitos que las instituciones bancarias deben solicitar para la apertura de cada nivel de cuenta, de maner</w:t>
      </w:r>
      <w:r w:rsidR="003A7BD1" w:rsidRPr="00AD2C97">
        <w:rPr>
          <w:rFonts w:ascii="Noto Sans" w:hAnsi="Noto Sans" w:cs="Noto Sans"/>
          <w:color w:val="FF0000"/>
        </w:rPr>
        <w:t>a enunciativa mas no limitativa.</w:t>
      </w:r>
    </w:p>
    <w:sectPr w:rsidR="00712168" w:rsidRPr="000A2CC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478A"/>
    <w:multiLevelType w:val="hybridMultilevel"/>
    <w:tmpl w:val="8D06A166"/>
    <w:lvl w:ilvl="0" w:tplc="9020B32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379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D5"/>
    <w:rsid w:val="000A2CC4"/>
    <w:rsid w:val="001B55C8"/>
    <w:rsid w:val="001C5C4C"/>
    <w:rsid w:val="001F680E"/>
    <w:rsid w:val="002505E4"/>
    <w:rsid w:val="002961C1"/>
    <w:rsid w:val="002A53D5"/>
    <w:rsid w:val="003458A8"/>
    <w:rsid w:val="0038222C"/>
    <w:rsid w:val="00382FE6"/>
    <w:rsid w:val="003A7BD1"/>
    <w:rsid w:val="0040068F"/>
    <w:rsid w:val="00712168"/>
    <w:rsid w:val="009003DC"/>
    <w:rsid w:val="009567C4"/>
    <w:rsid w:val="009E35A1"/>
    <w:rsid w:val="009F649A"/>
    <w:rsid w:val="00AD2C97"/>
    <w:rsid w:val="00B02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D5C6C"/>
  <w15:chartTrackingRefBased/>
  <w15:docId w15:val="{4190E6FD-B8D1-41E4-9DC7-B15202B2D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505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461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Sanchez Ensaldo</dc:creator>
  <cp:keywords/>
  <dc:description/>
  <cp:lastModifiedBy>Alexis</cp:lastModifiedBy>
  <cp:revision>3</cp:revision>
  <dcterms:created xsi:type="dcterms:W3CDTF">2026-04-06T21:28:00Z</dcterms:created>
  <dcterms:modified xsi:type="dcterms:W3CDTF">2026-04-14T22:58:00Z</dcterms:modified>
</cp:coreProperties>
</file>