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28D0" w:rsidRDefault="001B28D0" w:rsidP="00776493">
      <w:pPr>
        <w:pStyle w:val="Default"/>
        <w:ind w:left="-567" w:right="-709"/>
        <w:jc w:val="both"/>
        <w:rPr>
          <w:rFonts w:ascii="Arial" w:hAnsi="Arial" w:cs="Arial"/>
          <w:sz w:val="19"/>
          <w:szCs w:val="19"/>
        </w:rPr>
      </w:pPr>
    </w:p>
    <w:p w:rsidR="00861F3E" w:rsidRPr="001C4609" w:rsidRDefault="00861F3E" w:rsidP="00861F3E">
      <w:pPr>
        <w:ind w:right="-709"/>
        <w:jc w:val="right"/>
        <w:rPr>
          <w:rFonts w:ascii="Arial" w:hAnsi="Arial" w:cs="Arial"/>
          <w:sz w:val="18"/>
          <w:szCs w:val="19"/>
        </w:rPr>
      </w:pPr>
      <w:r w:rsidRPr="00783339">
        <w:rPr>
          <w:rFonts w:ascii="Arial" w:hAnsi="Arial" w:cs="Arial"/>
          <w:sz w:val="19"/>
          <w:szCs w:val="19"/>
        </w:rPr>
        <w:t xml:space="preserve">Ciudad de México, a </w:t>
      </w:r>
      <w:r>
        <w:rPr>
          <w:rFonts w:ascii="Arial" w:hAnsi="Arial" w:cs="Arial"/>
          <w:sz w:val="19"/>
          <w:szCs w:val="19"/>
        </w:rPr>
        <w:t>5</w:t>
      </w:r>
      <w:r w:rsidRPr="00783339">
        <w:rPr>
          <w:rFonts w:ascii="Arial" w:hAnsi="Arial" w:cs="Arial"/>
          <w:sz w:val="19"/>
          <w:szCs w:val="19"/>
        </w:rPr>
        <w:t xml:space="preserve"> de </w:t>
      </w:r>
      <w:r>
        <w:rPr>
          <w:rFonts w:ascii="Arial" w:hAnsi="Arial" w:cs="Arial"/>
          <w:sz w:val="19"/>
          <w:szCs w:val="19"/>
        </w:rPr>
        <w:t xml:space="preserve">septiembre </w:t>
      </w:r>
      <w:r w:rsidRPr="00783339">
        <w:rPr>
          <w:rFonts w:ascii="Arial" w:hAnsi="Arial" w:cs="Arial"/>
          <w:sz w:val="19"/>
          <w:szCs w:val="19"/>
        </w:rPr>
        <w:t xml:space="preserve">de </w:t>
      </w:r>
      <w:r>
        <w:rPr>
          <w:rFonts w:ascii="Arial" w:hAnsi="Arial" w:cs="Arial"/>
          <w:sz w:val="19"/>
          <w:szCs w:val="19"/>
        </w:rPr>
        <w:t>2018.</w:t>
      </w:r>
    </w:p>
    <w:p w:rsidR="00861F3E" w:rsidRPr="00783339" w:rsidRDefault="00861F3E" w:rsidP="00861F3E">
      <w:pPr>
        <w:ind w:left="-567" w:right="-709"/>
        <w:jc w:val="both"/>
        <w:rPr>
          <w:rFonts w:ascii="Arial" w:hAnsi="Arial" w:cs="Arial"/>
          <w:b/>
          <w:sz w:val="19"/>
          <w:szCs w:val="19"/>
        </w:rPr>
      </w:pPr>
      <w:r w:rsidRPr="00783339">
        <w:rPr>
          <w:rFonts w:ascii="Arial" w:hAnsi="Arial" w:cs="Arial"/>
          <w:b/>
          <w:sz w:val="19"/>
          <w:szCs w:val="19"/>
        </w:rPr>
        <w:t>BANCO DE MÉXICO</w:t>
      </w:r>
    </w:p>
    <w:p w:rsidR="00861F3E" w:rsidRDefault="00861F3E" w:rsidP="00861F3E">
      <w:pPr>
        <w:spacing w:after="0" w:line="240" w:lineRule="auto"/>
        <w:ind w:left="-567"/>
        <w:jc w:val="both"/>
        <w:rPr>
          <w:rFonts w:ascii="Arial" w:hAnsi="Arial" w:cs="Arial"/>
          <w:sz w:val="19"/>
          <w:szCs w:val="19"/>
        </w:rPr>
      </w:pPr>
      <w:r w:rsidRPr="00136A91">
        <w:rPr>
          <w:rFonts w:ascii="Arial" w:hAnsi="Arial" w:cs="Arial"/>
          <w:sz w:val="19"/>
          <w:szCs w:val="19"/>
        </w:rPr>
        <w:t>Calle de Bolívar 19</w:t>
      </w:r>
    </w:p>
    <w:p w:rsidR="00861F3E" w:rsidRPr="00136A91" w:rsidRDefault="00861F3E" w:rsidP="00861F3E">
      <w:pPr>
        <w:spacing w:after="0" w:line="240" w:lineRule="auto"/>
        <w:ind w:left="-567"/>
        <w:jc w:val="both"/>
        <w:rPr>
          <w:rFonts w:ascii="Arial" w:hAnsi="Arial" w:cs="Arial"/>
          <w:sz w:val="19"/>
          <w:szCs w:val="19"/>
        </w:rPr>
      </w:pPr>
      <w:r w:rsidRPr="00136A91">
        <w:rPr>
          <w:rFonts w:ascii="Arial" w:hAnsi="Arial" w:cs="Arial"/>
          <w:sz w:val="19"/>
          <w:szCs w:val="19"/>
        </w:rPr>
        <w:t>Centro Histórico</w:t>
      </w:r>
    </w:p>
    <w:p w:rsidR="00861F3E" w:rsidRPr="00136A91" w:rsidRDefault="00861F3E" w:rsidP="00861F3E">
      <w:pPr>
        <w:spacing w:after="0" w:line="240" w:lineRule="auto"/>
        <w:ind w:left="-567"/>
        <w:jc w:val="both"/>
        <w:rPr>
          <w:rFonts w:ascii="Arial" w:hAnsi="Arial" w:cs="Arial"/>
          <w:sz w:val="19"/>
          <w:szCs w:val="19"/>
        </w:rPr>
      </w:pPr>
      <w:r w:rsidRPr="00136A91">
        <w:rPr>
          <w:rFonts w:ascii="Arial" w:hAnsi="Arial" w:cs="Arial"/>
          <w:sz w:val="19"/>
          <w:szCs w:val="19"/>
        </w:rPr>
        <w:t xml:space="preserve">Centro, 06000 </w:t>
      </w:r>
    </w:p>
    <w:p w:rsidR="00861F3E" w:rsidRDefault="00861F3E" w:rsidP="00861F3E">
      <w:pPr>
        <w:spacing w:after="0" w:line="240" w:lineRule="auto"/>
        <w:ind w:left="-567"/>
        <w:jc w:val="both"/>
        <w:rPr>
          <w:rFonts w:ascii="Arial" w:hAnsi="Arial" w:cs="Arial"/>
          <w:sz w:val="19"/>
          <w:szCs w:val="19"/>
        </w:rPr>
      </w:pPr>
      <w:r w:rsidRPr="00136A91">
        <w:rPr>
          <w:rFonts w:ascii="Arial" w:hAnsi="Arial" w:cs="Arial"/>
          <w:sz w:val="19"/>
          <w:szCs w:val="19"/>
        </w:rPr>
        <w:t>Ciudad de México</w:t>
      </w:r>
    </w:p>
    <w:tbl>
      <w:tblPr>
        <w:tblStyle w:val="Tablaconcuadrcula"/>
        <w:tblW w:w="14459" w:type="dxa"/>
        <w:tblInd w:w="-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09"/>
        <w:gridCol w:w="7150"/>
      </w:tblGrid>
      <w:tr w:rsidR="00861F3E" w:rsidTr="00861F3E">
        <w:tc>
          <w:tcPr>
            <w:tcW w:w="7309" w:type="dxa"/>
          </w:tcPr>
          <w:p w:rsidR="00861F3E" w:rsidRDefault="00861F3E" w:rsidP="00861F3E">
            <w:pPr>
              <w:tabs>
                <w:tab w:val="left" w:pos="4575"/>
              </w:tabs>
              <w:ind w:right="533"/>
              <w:jc w:val="right"/>
              <w:rPr>
                <w:rFonts w:ascii="Arial" w:hAnsi="Arial" w:cs="Arial"/>
                <w:b/>
                <w:sz w:val="19"/>
                <w:szCs w:val="19"/>
              </w:rPr>
            </w:pPr>
          </w:p>
          <w:p w:rsidR="00861F3E" w:rsidRPr="00D16BB4" w:rsidRDefault="00861F3E" w:rsidP="00861F3E">
            <w:pPr>
              <w:tabs>
                <w:tab w:val="left" w:pos="4575"/>
              </w:tabs>
              <w:ind w:right="533"/>
              <w:jc w:val="right"/>
              <w:rPr>
                <w:rFonts w:ascii="Arial" w:hAnsi="Arial" w:cs="Arial"/>
                <w:sz w:val="20"/>
                <w:szCs w:val="20"/>
              </w:rPr>
            </w:pPr>
            <w:r w:rsidRPr="00700800">
              <w:rPr>
                <w:rFonts w:ascii="Arial" w:hAnsi="Arial" w:cs="Arial"/>
                <w:b/>
                <w:sz w:val="19"/>
                <w:szCs w:val="19"/>
              </w:rPr>
              <w:t>Asunto</w:t>
            </w:r>
            <w:r>
              <w:rPr>
                <w:rFonts w:ascii="Arial" w:hAnsi="Arial" w:cs="Arial"/>
                <w:b/>
                <w:sz w:val="19"/>
                <w:szCs w:val="19"/>
              </w:rPr>
              <w:t xml:space="preserve">:   </w:t>
            </w:r>
          </w:p>
        </w:tc>
        <w:tc>
          <w:tcPr>
            <w:tcW w:w="7150" w:type="dxa"/>
          </w:tcPr>
          <w:p w:rsidR="00861F3E" w:rsidRDefault="00861F3E" w:rsidP="00861F3E">
            <w:pPr>
              <w:jc w:val="both"/>
              <w:rPr>
                <w:rFonts w:ascii="Arial" w:hAnsi="Arial" w:cs="Arial"/>
                <w:sz w:val="19"/>
                <w:szCs w:val="19"/>
              </w:rPr>
            </w:pPr>
          </w:p>
          <w:p w:rsidR="00861F3E" w:rsidRDefault="00861F3E" w:rsidP="00861F3E">
            <w:pPr>
              <w:jc w:val="both"/>
              <w:rPr>
                <w:rFonts w:ascii="Arial" w:hAnsi="Arial" w:cs="Arial"/>
                <w:sz w:val="19"/>
                <w:szCs w:val="19"/>
              </w:rPr>
            </w:pPr>
            <w:r>
              <w:rPr>
                <w:rFonts w:ascii="Arial" w:hAnsi="Arial" w:cs="Arial"/>
                <w:sz w:val="19"/>
                <w:szCs w:val="19"/>
              </w:rPr>
              <w:t>Comentarios a Consulta Pública</w:t>
            </w:r>
          </w:p>
          <w:p w:rsidR="00861F3E" w:rsidRDefault="00861F3E" w:rsidP="00861F3E">
            <w:pPr>
              <w:jc w:val="both"/>
              <w:rPr>
                <w:rFonts w:ascii="Arial" w:hAnsi="Arial" w:cs="Arial"/>
                <w:sz w:val="19"/>
                <w:szCs w:val="19"/>
              </w:rPr>
            </w:pPr>
            <w:r>
              <w:rPr>
                <w:rFonts w:ascii="Arial" w:hAnsi="Arial" w:cs="Arial"/>
                <w:sz w:val="19"/>
                <w:szCs w:val="19"/>
              </w:rPr>
              <w:t>Modificaciones a la Circular 3/2012 Tarjetas de Débito</w:t>
            </w:r>
          </w:p>
          <w:p w:rsidR="00861F3E" w:rsidRPr="00D16BB4" w:rsidRDefault="00861F3E" w:rsidP="00861F3E">
            <w:pPr>
              <w:jc w:val="both"/>
              <w:rPr>
                <w:rFonts w:ascii="Arial" w:hAnsi="Arial" w:cs="Arial"/>
                <w:sz w:val="19"/>
                <w:szCs w:val="19"/>
              </w:rPr>
            </w:pPr>
          </w:p>
        </w:tc>
      </w:tr>
      <w:tr w:rsidR="00861F3E" w:rsidTr="00861F3E">
        <w:tc>
          <w:tcPr>
            <w:tcW w:w="7309" w:type="dxa"/>
          </w:tcPr>
          <w:p w:rsidR="00861F3E" w:rsidRPr="00D16BB4" w:rsidRDefault="00861F3E" w:rsidP="00861F3E">
            <w:pPr>
              <w:tabs>
                <w:tab w:val="left" w:pos="4575"/>
              </w:tabs>
              <w:ind w:left="4571"/>
              <w:jc w:val="right"/>
              <w:rPr>
                <w:rFonts w:ascii="Arial" w:hAnsi="Arial" w:cs="Arial"/>
                <w:b/>
                <w:sz w:val="20"/>
                <w:szCs w:val="20"/>
              </w:rPr>
            </w:pPr>
          </w:p>
        </w:tc>
        <w:tc>
          <w:tcPr>
            <w:tcW w:w="7150" w:type="dxa"/>
          </w:tcPr>
          <w:p w:rsidR="00861F3E" w:rsidRPr="003A42FE" w:rsidRDefault="00861F3E" w:rsidP="00861F3E">
            <w:pPr>
              <w:jc w:val="both"/>
              <w:rPr>
                <w:rFonts w:ascii="Times New Roman" w:hAnsi="Times New Roman"/>
                <w:b/>
                <w:bCs/>
                <w:sz w:val="24"/>
                <w:szCs w:val="24"/>
                <w:u w:val="single"/>
              </w:rPr>
            </w:pPr>
          </w:p>
        </w:tc>
      </w:tr>
      <w:tr w:rsidR="00861F3E" w:rsidTr="00861F3E">
        <w:tc>
          <w:tcPr>
            <w:tcW w:w="7309" w:type="dxa"/>
          </w:tcPr>
          <w:p w:rsidR="00861F3E" w:rsidRPr="00D16BB4" w:rsidRDefault="00861F3E" w:rsidP="00861F3E">
            <w:pPr>
              <w:tabs>
                <w:tab w:val="left" w:pos="4575"/>
              </w:tabs>
              <w:ind w:left="4571" w:right="533"/>
              <w:jc w:val="right"/>
              <w:rPr>
                <w:rFonts w:ascii="Arial" w:hAnsi="Arial" w:cs="Arial"/>
                <w:b/>
                <w:sz w:val="20"/>
                <w:szCs w:val="20"/>
              </w:rPr>
            </w:pPr>
            <w:r w:rsidRPr="00D16BB4">
              <w:rPr>
                <w:rFonts w:ascii="Arial" w:hAnsi="Arial" w:cs="Arial"/>
                <w:b/>
                <w:sz w:val="20"/>
                <w:szCs w:val="20"/>
              </w:rPr>
              <w:t>Atención:</w:t>
            </w:r>
          </w:p>
        </w:tc>
        <w:tc>
          <w:tcPr>
            <w:tcW w:w="7150" w:type="dxa"/>
          </w:tcPr>
          <w:p w:rsidR="00861F3E" w:rsidRPr="00D16BB4" w:rsidRDefault="00861F3E" w:rsidP="00861F3E">
            <w:pPr>
              <w:jc w:val="both"/>
              <w:rPr>
                <w:rFonts w:ascii="Arial" w:hAnsi="Arial" w:cs="Arial"/>
                <w:sz w:val="19"/>
                <w:szCs w:val="19"/>
              </w:rPr>
            </w:pPr>
            <w:r w:rsidRPr="00D16BB4">
              <w:rPr>
                <w:rFonts w:ascii="Arial" w:hAnsi="Arial" w:cs="Arial"/>
                <w:sz w:val="19"/>
                <w:szCs w:val="19"/>
              </w:rPr>
              <w:t>Alejandro Díaz de León Carrillo</w:t>
            </w:r>
          </w:p>
          <w:p w:rsidR="00861F3E" w:rsidRDefault="00861F3E" w:rsidP="00861F3E">
            <w:pPr>
              <w:jc w:val="both"/>
              <w:rPr>
                <w:rFonts w:ascii="Arial" w:hAnsi="Arial" w:cs="Arial"/>
                <w:sz w:val="19"/>
                <w:szCs w:val="19"/>
              </w:rPr>
            </w:pPr>
            <w:r w:rsidRPr="00D16BB4">
              <w:rPr>
                <w:rFonts w:ascii="Arial" w:hAnsi="Arial" w:cs="Arial"/>
                <w:sz w:val="19"/>
                <w:szCs w:val="19"/>
              </w:rPr>
              <w:t>Gobernador del Banco de México</w:t>
            </w:r>
          </w:p>
        </w:tc>
      </w:tr>
    </w:tbl>
    <w:p w:rsidR="00861F3E" w:rsidRDefault="00861F3E" w:rsidP="00861F3E">
      <w:pPr>
        <w:autoSpaceDE w:val="0"/>
        <w:autoSpaceDN w:val="0"/>
        <w:adjustRightInd w:val="0"/>
        <w:ind w:left="-567" w:right="-850"/>
        <w:jc w:val="both"/>
        <w:rPr>
          <w:rFonts w:ascii="Arial" w:hAnsi="Arial" w:cs="Arial"/>
          <w:sz w:val="19"/>
          <w:szCs w:val="19"/>
        </w:rPr>
      </w:pPr>
    </w:p>
    <w:p w:rsidR="00861F3E" w:rsidRDefault="00861F3E" w:rsidP="00861F3E">
      <w:pPr>
        <w:pStyle w:val="Default"/>
        <w:ind w:left="-567" w:right="-709"/>
        <w:jc w:val="both"/>
        <w:rPr>
          <w:rFonts w:ascii="Arial" w:hAnsi="Arial" w:cs="Arial"/>
          <w:sz w:val="19"/>
          <w:szCs w:val="19"/>
        </w:rPr>
      </w:pPr>
    </w:p>
    <w:p w:rsidR="00861F3E" w:rsidRPr="00783339" w:rsidRDefault="00861F3E" w:rsidP="00861F3E">
      <w:pPr>
        <w:pStyle w:val="Default"/>
        <w:ind w:left="-567" w:right="-709"/>
        <w:jc w:val="both"/>
        <w:rPr>
          <w:rFonts w:ascii="Arial" w:hAnsi="Arial" w:cs="Arial"/>
          <w:sz w:val="19"/>
          <w:szCs w:val="19"/>
        </w:rPr>
      </w:pPr>
      <w:r w:rsidRPr="00783339">
        <w:rPr>
          <w:rFonts w:ascii="Arial" w:hAnsi="Arial" w:cs="Arial"/>
          <w:sz w:val="19"/>
          <w:szCs w:val="19"/>
        </w:rPr>
        <w:t xml:space="preserve">HSBC México, S.A., Institución de Banca Múltiple, Grupo Financiero HSBC (HSBC México), </w:t>
      </w:r>
      <w:r>
        <w:rPr>
          <w:rFonts w:ascii="Arial" w:hAnsi="Arial" w:cs="Arial"/>
          <w:sz w:val="19"/>
          <w:szCs w:val="19"/>
        </w:rPr>
        <w:t xml:space="preserve">en relación con la consulta púbica realizada por Banco de México sobre las modificaciones a las </w:t>
      </w:r>
      <w:r w:rsidRPr="00776493">
        <w:rPr>
          <w:rFonts w:ascii="Arial" w:hAnsi="Arial" w:cs="Arial"/>
          <w:sz w:val="19"/>
          <w:szCs w:val="19"/>
        </w:rPr>
        <w:t>Disposiciones aplicables a las operaciones de las Instituciones de Crédito y de la Financiera Nacional de Desarrollo Agropecuario, Rural, Forestal y Pesquero, emitidas mediante la Circular 3/2012</w:t>
      </w:r>
      <w:r>
        <w:rPr>
          <w:rFonts w:ascii="Arial" w:hAnsi="Arial" w:cs="Arial"/>
          <w:sz w:val="19"/>
          <w:szCs w:val="19"/>
        </w:rPr>
        <w:t>,</w:t>
      </w:r>
      <w:r w:rsidRPr="00136A91">
        <w:rPr>
          <w:rFonts w:ascii="Arial" w:hAnsi="Arial" w:cs="Arial"/>
          <w:sz w:val="19"/>
          <w:szCs w:val="19"/>
        </w:rPr>
        <w:t xml:space="preserve"> remite a ese Banco Central</w:t>
      </w:r>
      <w:r>
        <w:rPr>
          <w:rFonts w:ascii="Arial" w:hAnsi="Arial" w:cs="Arial"/>
          <w:sz w:val="19"/>
          <w:szCs w:val="19"/>
        </w:rPr>
        <w:t xml:space="preserve"> los siguientes comentarios y dudas, para dar respuesta a la </w:t>
      </w:r>
      <w:r w:rsidR="00DB40D4">
        <w:rPr>
          <w:rFonts w:ascii="Arial" w:hAnsi="Arial" w:cs="Arial"/>
          <w:sz w:val="19"/>
          <w:szCs w:val="19"/>
        </w:rPr>
        <w:t xml:space="preserve">segunda </w:t>
      </w:r>
      <w:r>
        <w:rPr>
          <w:rFonts w:ascii="Arial" w:hAnsi="Arial" w:cs="Arial"/>
          <w:sz w:val="19"/>
          <w:szCs w:val="19"/>
        </w:rPr>
        <w:t xml:space="preserve">consulta en relación con dichas modificaciones publicadas el </w:t>
      </w:r>
      <w:r w:rsidR="00DB40D4">
        <w:rPr>
          <w:rFonts w:ascii="Arial" w:hAnsi="Arial" w:cs="Arial"/>
          <w:sz w:val="19"/>
          <w:szCs w:val="19"/>
        </w:rPr>
        <w:t>29 de agosto de 2018</w:t>
      </w:r>
      <w:r>
        <w:rPr>
          <w:rFonts w:ascii="Arial" w:hAnsi="Arial" w:cs="Arial"/>
          <w:sz w:val="19"/>
          <w:szCs w:val="19"/>
        </w:rPr>
        <w:t>:</w:t>
      </w:r>
    </w:p>
    <w:p w:rsidR="00861F3E" w:rsidRPr="00776493" w:rsidRDefault="00861F3E" w:rsidP="00861F3E">
      <w:pPr>
        <w:pStyle w:val="Default"/>
        <w:ind w:left="-567" w:right="-709"/>
        <w:jc w:val="both"/>
        <w:rPr>
          <w:rFonts w:ascii="Arial" w:hAnsi="Arial" w:cs="Arial"/>
          <w:sz w:val="19"/>
          <w:szCs w:val="19"/>
        </w:rPr>
      </w:pPr>
    </w:p>
    <w:p w:rsidR="00861F3E" w:rsidRDefault="00861F3E" w:rsidP="00861F3E">
      <w:pPr>
        <w:pStyle w:val="Default"/>
      </w:pPr>
    </w:p>
    <w:p w:rsidR="001B28D0" w:rsidRPr="001D0492" w:rsidRDefault="00861F3E" w:rsidP="00861F3E">
      <w:pPr>
        <w:jc w:val="center"/>
        <w:rPr>
          <w:rFonts w:ascii="Arial" w:hAnsi="Arial" w:cs="Arial"/>
          <w:sz w:val="19"/>
          <w:szCs w:val="19"/>
        </w:rPr>
      </w:pPr>
      <w:r>
        <w:rPr>
          <w:rFonts w:ascii="Arial" w:hAnsi="Arial" w:cs="Arial"/>
          <w:b/>
          <w:bCs/>
          <w:sz w:val="20"/>
          <w:szCs w:val="20"/>
        </w:rPr>
        <w:t xml:space="preserve">Modificaciones a la </w:t>
      </w:r>
      <w:r w:rsidRPr="00776493">
        <w:rPr>
          <w:rFonts w:ascii="Arial" w:hAnsi="Arial" w:cs="Arial"/>
          <w:b/>
          <w:sz w:val="19"/>
          <w:szCs w:val="19"/>
        </w:rPr>
        <w:t>Circular 3/2012 Tarjetas de Débito</w:t>
      </w:r>
    </w:p>
    <w:tbl>
      <w:tblPr>
        <w:tblW w:w="0" w:type="auto"/>
        <w:tblCellMar>
          <w:left w:w="70" w:type="dxa"/>
          <w:right w:w="70" w:type="dxa"/>
        </w:tblCellMar>
        <w:tblLook w:val="04A0" w:firstRow="1" w:lastRow="0" w:firstColumn="1" w:lastColumn="0" w:noHBand="0" w:noVBand="1"/>
      </w:tblPr>
      <w:tblGrid>
        <w:gridCol w:w="4106"/>
        <w:gridCol w:w="4394"/>
        <w:gridCol w:w="4248"/>
      </w:tblGrid>
      <w:tr w:rsidR="00861F3E" w:rsidRPr="00F03C43" w:rsidTr="00861F3E">
        <w:trPr>
          <w:trHeight w:val="465"/>
          <w:tblHeader/>
        </w:trPr>
        <w:tc>
          <w:tcPr>
            <w:tcW w:w="4106"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bottom"/>
            <w:hideMark/>
          </w:tcPr>
          <w:p w:rsidR="00861F3E" w:rsidRPr="00776493" w:rsidRDefault="00861F3E" w:rsidP="005D6DEB">
            <w:pPr>
              <w:spacing w:after="0" w:line="240" w:lineRule="auto"/>
              <w:jc w:val="center"/>
              <w:rPr>
                <w:rFonts w:ascii="Calibri" w:eastAsia="Times New Roman" w:hAnsi="Calibri" w:cs="Calibri"/>
                <w:b/>
                <w:color w:val="000000" w:themeColor="text1"/>
                <w:sz w:val="20"/>
                <w:szCs w:val="20"/>
                <w:lang w:eastAsia="pt-BR"/>
              </w:rPr>
            </w:pPr>
          </w:p>
          <w:p w:rsidR="00861F3E" w:rsidRPr="00776493" w:rsidRDefault="00861F3E" w:rsidP="005D6DEB">
            <w:pPr>
              <w:spacing w:after="0" w:line="240" w:lineRule="auto"/>
              <w:jc w:val="center"/>
              <w:rPr>
                <w:rFonts w:ascii="Calibri" w:eastAsia="Times New Roman" w:hAnsi="Calibri" w:cs="Calibri"/>
                <w:b/>
                <w:color w:val="000000" w:themeColor="text1"/>
                <w:sz w:val="20"/>
                <w:szCs w:val="20"/>
                <w:lang w:eastAsia="pt-BR"/>
              </w:rPr>
            </w:pPr>
            <w:r w:rsidRPr="00776493">
              <w:rPr>
                <w:rFonts w:ascii="Calibri" w:eastAsia="Times New Roman" w:hAnsi="Calibri" w:cs="Calibri"/>
                <w:b/>
                <w:color w:val="000000" w:themeColor="text1"/>
                <w:sz w:val="20"/>
                <w:szCs w:val="20"/>
                <w:lang w:eastAsia="pt-BR"/>
              </w:rPr>
              <w:t>Texto vigente</w:t>
            </w:r>
          </w:p>
          <w:p w:rsidR="00861F3E" w:rsidRPr="00776493" w:rsidRDefault="00861F3E" w:rsidP="005D6DEB">
            <w:pPr>
              <w:spacing w:after="0" w:line="240" w:lineRule="auto"/>
              <w:jc w:val="center"/>
              <w:rPr>
                <w:rFonts w:ascii="Calibri" w:eastAsia="Times New Roman" w:hAnsi="Calibri" w:cs="Calibri"/>
                <w:b/>
                <w:color w:val="000000" w:themeColor="text1"/>
                <w:sz w:val="20"/>
                <w:szCs w:val="20"/>
                <w:lang w:eastAsia="pt-BR"/>
              </w:rPr>
            </w:pPr>
          </w:p>
        </w:tc>
        <w:tc>
          <w:tcPr>
            <w:tcW w:w="4394" w:type="dxa"/>
            <w:tcBorders>
              <w:top w:val="single" w:sz="4" w:space="0" w:color="auto"/>
              <w:left w:val="nil"/>
              <w:bottom w:val="single" w:sz="4" w:space="0" w:color="auto"/>
              <w:right w:val="single" w:sz="4" w:space="0" w:color="auto"/>
            </w:tcBorders>
            <w:shd w:val="clear" w:color="auto" w:fill="A6A6A6" w:themeFill="background1" w:themeFillShade="A6"/>
          </w:tcPr>
          <w:p w:rsidR="00861F3E" w:rsidRPr="00776493" w:rsidRDefault="00861F3E" w:rsidP="005D6DEB">
            <w:pPr>
              <w:spacing w:after="0" w:line="240" w:lineRule="auto"/>
              <w:jc w:val="center"/>
              <w:rPr>
                <w:rFonts w:ascii="Calibri" w:eastAsia="Times New Roman" w:hAnsi="Calibri" w:cs="Calibri"/>
                <w:b/>
                <w:color w:val="000000" w:themeColor="text1"/>
                <w:sz w:val="20"/>
                <w:szCs w:val="20"/>
                <w:lang w:val="es-419" w:eastAsia="pt-BR"/>
              </w:rPr>
            </w:pPr>
          </w:p>
          <w:p w:rsidR="00861F3E" w:rsidRPr="00776493" w:rsidRDefault="00861F3E" w:rsidP="00861F3E">
            <w:pPr>
              <w:spacing w:after="0" w:line="240" w:lineRule="auto"/>
              <w:jc w:val="center"/>
              <w:rPr>
                <w:rFonts w:ascii="Calibri" w:eastAsia="Times New Roman" w:hAnsi="Calibri" w:cs="Calibri"/>
                <w:b/>
                <w:color w:val="000000" w:themeColor="text1"/>
                <w:sz w:val="20"/>
                <w:szCs w:val="20"/>
                <w:lang w:val="es-419" w:eastAsia="pt-BR"/>
              </w:rPr>
            </w:pPr>
            <w:r>
              <w:rPr>
                <w:rFonts w:ascii="Calibri" w:eastAsia="Times New Roman" w:hAnsi="Calibri" w:cs="Calibri"/>
                <w:b/>
                <w:color w:val="000000" w:themeColor="text1"/>
                <w:sz w:val="20"/>
                <w:szCs w:val="20"/>
                <w:lang w:val="es-419" w:eastAsia="pt-BR"/>
              </w:rPr>
              <w:t xml:space="preserve">Texto propuesto - Segunda Consulta </w:t>
            </w:r>
          </w:p>
        </w:tc>
        <w:tc>
          <w:tcPr>
            <w:tcW w:w="4248" w:type="dxa"/>
            <w:tcBorders>
              <w:top w:val="single" w:sz="4" w:space="0" w:color="auto"/>
              <w:left w:val="nil"/>
              <w:bottom w:val="single" w:sz="4" w:space="0" w:color="auto"/>
              <w:right w:val="single" w:sz="4" w:space="0" w:color="auto"/>
            </w:tcBorders>
            <w:shd w:val="clear" w:color="auto" w:fill="A6A6A6" w:themeFill="background1" w:themeFillShade="A6"/>
          </w:tcPr>
          <w:p w:rsidR="00DB40D4" w:rsidRDefault="00DB40D4" w:rsidP="005D6DEB">
            <w:pPr>
              <w:spacing w:after="0" w:line="240" w:lineRule="auto"/>
              <w:jc w:val="center"/>
              <w:rPr>
                <w:rFonts w:ascii="Calibri" w:eastAsia="Times New Roman" w:hAnsi="Calibri" w:cs="Calibri"/>
                <w:b/>
                <w:color w:val="000000" w:themeColor="text1"/>
                <w:sz w:val="20"/>
                <w:szCs w:val="20"/>
                <w:lang w:val="es-419" w:eastAsia="pt-BR"/>
              </w:rPr>
            </w:pPr>
          </w:p>
          <w:p w:rsidR="00861F3E" w:rsidRPr="00776493" w:rsidRDefault="00861F3E" w:rsidP="005D6DEB">
            <w:pPr>
              <w:spacing w:after="0" w:line="240" w:lineRule="auto"/>
              <w:jc w:val="center"/>
              <w:rPr>
                <w:rFonts w:ascii="Calibri" w:eastAsia="Times New Roman" w:hAnsi="Calibri" w:cs="Calibri"/>
                <w:b/>
                <w:color w:val="000000" w:themeColor="text1"/>
                <w:sz w:val="20"/>
                <w:szCs w:val="20"/>
                <w:lang w:val="es-419" w:eastAsia="pt-BR"/>
              </w:rPr>
            </w:pPr>
            <w:r>
              <w:rPr>
                <w:rFonts w:ascii="Calibri" w:eastAsia="Times New Roman" w:hAnsi="Calibri" w:cs="Calibri"/>
                <w:b/>
                <w:color w:val="000000" w:themeColor="text1"/>
                <w:sz w:val="20"/>
                <w:szCs w:val="20"/>
                <w:lang w:val="es-419" w:eastAsia="pt-BR"/>
              </w:rPr>
              <w:t xml:space="preserve">Comentarios </w:t>
            </w: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tcPr>
          <w:p w:rsidR="00861F3E" w:rsidRPr="00DB40D4" w:rsidRDefault="00861F3E" w:rsidP="005D6DEB">
            <w:pPr>
              <w:spacing w:after="0" w:line="240" w:lineRule="auto"/>
              <w:rPr>
                <w:rFonts w:eastAsia="Times New Roman" w:cstheme="minorHAnsi"/>
                <w:b/>
                <w:bCs/>
                <w:color w:val="000000" w:themeColor="text1"/>
                <w:sz w:val="20"/>
                <w:szCs w:val="20"/>
                <w:lang w:val="es-419" w:eastAsia="pt-BR"/>
              </w:rPr>
            </w:pPr>
            <w:r w:rsidRPr="00DB40D4">
              <w:rPr>
                <w:rFonts w:eastAsia="Times New Roman" w:cstheme="minorHAnsi"/>
                <w:b/>
                <w:bCs/>
                <w:color w:val="000000" w:themeColor="text1"/>
                <w:sz w:val="20"/>
                <w:szCs w:val="20"/>
                <w:lang w:val="es-419" w:eastAsia="pt-BR"/>
              </w:rPr>
              <w:t>Definiciones</w:t>
            </w:r>
          </w:p>
        </w:tc>
        <w:tc>
          <w:tcPr>
            <w:tcW w:w="4394" w:type="dxa"/>
            <w:tcBorders>
              <w:top w:val="nil"/>
              <w:left w:val="nil"/>
              <w:bottom w:val="single" w:sz="4" w:space="0" w:color="auto"/>
              <w:right w:val="single" w:sz="4" w:space="0" w:color="auto"/>
            </w:tcBorders>
          </w:tcPr>
          <w:p w:rsidR="00861F3E" w:rsidRPr="00DB40D4" w:rsidRDefault="00861F3E" w:rsidP="005D6DEB">
            <w:pPr>
              <w:spacing w:after="0" w:line="240" w:lineRule="auto"/>
              <w:rPr>
                <w:rFonts w:eastAsia="Times New Roman" w:cstheme="minorHAnsi"/>
                <w:color w:val="000000" w:themeColor="text1"/>
                <w:sz w:val="20"/>
                <w:szCs w:val="20"/>
                <w:lang w:val="es-419" w:eastAsia="pt-BR"/>
              </w:rPr>
            </w:pPr>
          </w:p>
        </w:tc>
        <w:tc>
          <w:tcPr>
            <w:tcW w:w="4248" w:type="dxa"/>
            <w:tcBorders>
              <w:top w:val="nil"/>
              <w:left w:val="nil"/>
              <w:bottom w:val="single" w:sz="4" w:space="0" w:color="auto"/>
              <w:right w:val="single" w:sz="4" w:space="0" w:color="auto"/>
            </w:tcBorders>
          </w:tcPr>
          <w:p w:rsidR="00861F3E" w:rsidRPr="00F03C43" w:rsidRDefault="00861F3E" w:rsidP="005D6DEB">
            <w:pPr>
              <w:spacing w:after="0" w:line="240" w:lineRule="auto"/>
              <w:rPr>
                <w:rFonts w:eastAsia="Times New Roman" w:cstheme="minorHAnsi"/>
                <w:color w:val="000000"/>
                <w:sz w:val="20"/>
                <w:szCs w:val="20"/>
                <w:lang w:val="es-419" w:eastAsia="pt-BR"/>
              </w:rPr>
            </w:pPr>
          </w:p>
        </w:tc>
      </w:tr>
      <w:tr w:rsidR="00861F3E" w:rsidRPr="00F03C43" w:rsidTr="00861F3E">
        <w:trPr>
          <w:trHeight w:val="900"/>
        </w:trPr>
        <w:tc>
          <w:tcPr>
            <w:tcW w:w="4106" w:type="dxa"/>
            <w:tcBorders>
              <w:top w:val="nil"/>
              <w:left w:val="single" w:sz="4" w:space="0" w:color="auto"/>
              <w:bottom w:val="single" w:sz="4" w:space="0" w:color="auto"/>
              <w:right w:val="single" w:sz="4" w:space="0" w:color="auto"/>
            </w:tcBorders>
            <w:shd w:val="clear" w:color="auto" w:fill="auto"/>
            <w:vAlign w:val="center"/>
          </w:tcPr>
          <w:tbl>
            <w:tblPr>
              <w:tblW w:w="0" w:type="auto"/>
              <w:tblBorders>
                <w:top w:val="nil"/>
                <w:left w:val="nil"/>
                <w:bottom w:val="nil"/>
                <w:right w:val="nil"/>
              </w:tblBorders>
              <w:tblLook w:val="0000" w:firstRow="0" w:lastRow="0" w:firstColumn="0" w:lastColumn="0" w:noHBand="0" w:noVBand="0"/>
            </w:tblPr>
            <w:tblGrid>
              <w:gridCol w:w="3966"/>
            </w:tblGrid>
            <w:tr w:rsidR="00861F3E" w:rsidRPr="00DB40D4" w:rsidTr="00E252CC">
              <w:trPr>
                <w:trHeight w:val="793"/>
              </w:trPr>
              <w:tc>
                <w:tcPr>
                  <w:tcW w:w="0" w:type="auto"/>
                </w:tcPr>
                <w:p w:rsidR="00861F3E" w:rsidRPr="00DB40D4" w:rsidRDefault="00861F3E" w:rsidP="00E252CC">
                  <w:pPr>
                    <w:autoSpaceDE w:val="0"/>
                    <w:autoSpaceDN w:val="0"/>
                    <w:adjustRightInd w:val="0"/>
                    <w:spacing w:after="0" w:line="240" w:lineRule="auto"/>
                    <w:rPr>
                      <w:rFonts w:ascii="Calibri" w:hAnsi="Calibri" w:cs="Calibri"/>
                      <w:color w:val="000000" w:themeColor="text1"/>
                    </w:rPr>
                  </w:pPr>
                  <w:r w:rsidRPr="00DB40D4">
                    <w:rPr>
                      <w:rFonts w:eastAsia="Times New Roman" w:cstheme="minorHAnsi"/>
                      <w:color w:val="000000" w:themeColor="text1"/>
                      <w:sz w:val="20"/>
                      <w:szCs w:val="20"/>
                      <w:lang w:val="es-419" w:eastAsia="pt-BR"/>
                    </w:rPr>
                    <w:t>Artículo 2º.- Para fines de brevedad, en singular o plural, en las presentes Disposiciones se entenderá por:</w:t>
                  </w:r>
                  <w:r w:rsidRPr="00DB40D4">
                    <w:rPr>
                      <w:rFonts w:ascii="Calibri" w:hAnsi="Calibri" w:cs="Calibri"/>
                      <w:color w:val="000000" w:themeColor="text1"/>
                    </w:rPr>
                    <w:t xml:space="preserve"> </w:t>
                  </w:r>
                </w:p>
              </w:tc>
            </w:tr>
          </w:tbl>
          <w:p w:rsidR="00861F3E" w:rsidRPr="00DB40D4" w:rsidRDefault="00861F3E" w:rsidP="00776493">
            <w:pPr>
              <w:spacing w:after="0" w:line="240" w:lineRule="auto"/>
              <w:jc w:val="both"/>
              <w:rPr>
                <w:rFonts w:eastAsia="Times New Roman" w:cstheme="minorHAnsi"/>
                <w:color w:val="000000" w:themeColor="text1"/>
                <w:sz w:val="20"/>
                <w:szCs w:val="20"/>
                <w:lang w:eastAsia="pt-BR"/>
              </w:rPr>
            </w:pPr>
          </w:p>
        </w:tc>
        <w:tc>
          <w:tcPr>
            <w:tcW w:w="4394" w:type="dxa"/>
            <w:tcBorders>
              <w:top w:val="nil"/>
              <w:left w:val="nil"/>
              <w:bottom w:val="single" w:sz="4" w:space="0" w:color="auto"/>
              <w:right w:val="single" w:sz="4" w:space="0" w:color="auto"/>
            </w:tcBorders>
          </w:tcPr>
          <w:p w:rsidR="00861F3E" w:rsidRPr="00DB40D4" w:rsidRDefault="00861F3E" w:rsidP="00E252CC">
            <w:pPr>
              <w:pStyle w:val="TableParagraph"/>
              <w:spacing w:before="72"/>
              <w:ind w:left="102"/>
              <w:jc w:val="both"/>
              <w:rPr>
                <w:rFonts w:asciiTheme="minorHAnsi" w:eastAsia="Times New Roman" w:hAnsiTheme="minorHAnsi" w:cstheme="minorHAnsi"/>
                <w:color w:val="000000" w:themeColor="text1"/>
                <w:sz w:val="20"/>
                <w:szCs w:val="20"/>
                <w:u w:val="single"/>
                <w:lang w:val="es-419" w:eastAsia="pt-BR"/>
              </w:rPr>
            </w:pPr>
            <w:r w:rsidRPr="00DB40D4">
              <w:rPr>
                <w:rFonts w:asciiTheme="minorHAnsi" w:eastAsia="Times New Roman" w:hAnsiTheme="minorHAnsi" w:cstheme="minorHAnsi"/>
                <w:color w:val="000000" w:themeColor="text1"/>
                <w:sz w:val="20"/>
                <w:szCs w:val="20"/>
                <w:u w:val="single"/>
                <w:lang w:val="es-419" w:eastAsia="pt-BR"/>
              </w:rPr>
              <w:t xml:space="preserve">Artículo 2º.- … </w:t>
            </w:r>
          </w:p>
          <w:p w:rsidR="00861F3E" w:rsidRPr="00DB40D4" w:rsidRDefault="00861F3E" w:rsidP="00E252CC">
            <w:pPr>
              <w:pStyle w:val="TableParagraph"/>
              <w:spacing w:before="72"/>
              <w:ind w:left="102"/>
              <w:jc w:val="both"/>
              <w:rPr>
                <w:rFonts w:asciiTheme="minorHAnsi" w:eastAsia="Times New Roman" w:hAnsiTheme="minorHAnsi" w:cstheme="minorHAnsi"/>
                <w:color w:val="000000" w:themeColor="text1"/>
                <w:sz w:val="20"/>
                <w:szCs w:val="20"/>
                <w:u w:val="single"/>
                <w:lang w:val="es-419" w:eastAsia="pt-BR"/>
              </w:rPr>
            </w:pPr>
          </w:p>
          <w:tbl>
            <w:tblPr>
              <w:tblW w:w="0" w:type="auto"/>
              <w:tblBorders>
                <w:top w:val="nil"/>
                <w:left w:val="nil"/>
                <w:bottom w:val="nil"/>
                <w:right w:val="nil"/>
              </w:tblBorders>
              <w:tblLook w:val="0000" w:firstRow="0" w:lastRow="0" w:firstColumn="0" w:lastColumn="0" w:noHBand="0" w:noVBand="0"/>
            </w:tblPr>
            <w:tblGrid>
              <w:gridCol w:w="4254"/>
            </w:tblGrid>
            <w:tr w:rsidR="00861F3E" w:rsidRPr="00DB40D4">
              <w:trPr>
                <w:trHeight w:val="110"/>
              </w:trPr>
              <w:tc>
                <w:tcPr>
                  <w:tcW w:w="0" w:type="auto"/>
                </w:tcPr>
                <w:p w:rsidR="00861F3E" w:rsidRPr="00DB40D4" w:rsidRDefault="00861F3E" w:rsidP="00E252CC">
                  <w:pPr>
                    <w:autoSpaceDE w:val="0"/>
                    <w:autoSpaceDN w:val="0"/>
                    <w:adjustRightInd w:val="0"/>
                    <w:spacing w:after="0" w:line="240" w:lineRule="auto"/>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 xml:space="preserve">… </w:t>
                  </w:r>
                </w:p>
              </w:tc>
            </w:tr>
            <w:tr w:rsidR="00861F3E" w:rsidRPr="00DB40D4">
              <w:trPr>
                <w:trHeight w:val="379"/>
              </w:trPr>
              <w:tc>
                <w:tcPr>
                  <w:tcW w:w="0" w:type="auto"/>
                </w:tcPr>
                <w:p w:rsidR="00861F3E" w:rsidRPr="00DB40D4" w:rsidRDefault="00861F3E" w:rsidP="00E252CC">
                  <w:pPr>
                    <w:autoSpaceDE w:val="0"/>
                    <w:autoSpaceDN w:val="0"/>
                    <w:adjustRightInd w:val="0"/>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Tarjetahabiente: a aquella persona a nombre de quien la Institución emite una tarjeta de débito correspondiente a una Cuenta de Depósito a la vista, ya sea que se trate del titular de dicha Cuenta o de un tercero debidamente autorizado por este último como tenedor de una tarjeta adicional a la que corresponda a dicho titular; así como al titular de una tarjeta de débito asociada a una cuenta nivel 1.</w:t>
                  </w:r>
                </w:p>
              </w:tc>
            </w:tr>
          </w:tbl>
          <w:p w:rsidR="00861F3E" w:rsidRPr="00DB40D4" w:rsidRDefault="00861F3E" w:rsidP="00E252CC">
            <w:pPr>
              <w:pStyle w:val="TableParagraph"/>
              <w:spacing w:before="72"/>
              <w:ind w:left="102"/>
              <w:jc w:val="both"/>
              <w:rPr>
                <w:rFonts w:eastAsia="Times New Roman" w:cstheme="minorHAnsi"/>
                <w:color w:val="000000" w:themeColor="text1"/>
                <w:sz w:val="20"/>
                <w:szCs w:val="20"/>
                <w:lang w:eastAsia="pt-BR"/>
              </w:rPr>
            </w:pPr>
          </w:p>
        </w:tc>
        <w:tc>
          <w:tcPr>
            <w:tcW w:w="4248" w:type="dxa"/>
            <w:tcBorders>
              <w:top w:val="nil"/>
              <w:left w:val="nil"/>
              <w:bottom w:val="single" w:sz="4" w:space="0" w:color="auto"/>
              <w:right w:val="single" w:sz="4" w:space="0" w:color="auto"/>
            </w:tcBorders>
          </w:tcPr>
          <w:p w:rsidR="00861F3E" w:rsidRPr="00EE1544" w:rsidRDefault="00861F3E" w:rsidP="00E252CC">
            <w:pPr>
              <w:pStyle w:val="TableParagraph"/>
              <w:spacing w:before="72"/>
              <w:ind w:left="102"/>
              <w:jc w:val="both"/>
              <w:rPr>
                <w:rFonts w:asciiTheme="minorHAnsi" w:eastAsia="Times New Roman" w:hAnsiTheme="minorHAnsi" w:cstheme="minorHAnsi"/>
                <w:color w:val="00B050"/>
                <w:sz w:val="20"/>
                <w:szCs w:val="20"/>
                <w:u w:val="single"/>
                <w:lang w:val="es-419" w:eastAsia="pt-BR"/>
              </w:rPr>
            </w:pPr>
          </w:p>
        </w:tc>
      </w:tr>
      <w:tr w:rsidR="00861F3E" w:rsidRPr="00F03C43" w:rsidTr="00861F3E">
        <w:trPr>
          <w:trHeight w:val="349"/>
        </w:trPr>
        <w:tc>
          <w:tcPr>
            <w:tcW w:w="4106" w:type="dxa"/>
            <w:tcBorders>
              <w:top w:val="nil"/>
              <w:left w:val="single" w:sz="4" w:space="0" w:color="auto"/>
              <w:bottom w:val="single" w:sz="4" w:space="0" w:color="auto"/>
              <w:right w:val="single" w:sz="4" w:space="0" w:color="auto"/>
            </w:tcBorders>
            <w:shd w:val="clear" w:color="auto" w:fill="auto"/>
            <w:vAlign w:val="center"/>
          </w:tcPr>
          <w:p w:rsidR="00861F3E" w:rsidRPr="00DB40D4" w:rsidRDefault="00861F3E" w:rsidP="00CC121E">
            <w:pPr>
              <w:spacing w:after="0" w:line="240" w:lineRule="auto"/>
              <w:rPr>
                <w:rFonts w:eastAsia="Times New Roman" w:cstheme="minorHAnsi"/>
                <w:b/>
                <w:bCs/>
                <w:color w:val="000000" w:themeColor="text1"/>
                <w:sz w:val="20"/>
                <w:szCs w:val="20"/>
                <w:lang w:val="es-419" w:eastAsia="pt-BR"/>
              </w:rPr>
            </w:pPr>
            <w:r w:rsidRPr="00DB40D4">
              <w:rPr>
                <w:rFonts w:eastAsia="Times New Roman" w:cstheme="minorHAnsi"/>
                <w:b/>
                <w:bCs/>
                <w:strike/>
                <w:color w:val="000000" w:themeColor="text1"/>
                <w:sz w:val="20"/>
                <w:szCs w:val="20"/>
                <w:lang w:val="es-419" w:eastAsia="pt-BR"/>
              </w:rPr>
              <w:t>Retiro de recursos</w:t>
            </w:r>
          </w:p>
        </w:tc>
        <w:tc>
          <w:tcPr>
            <w:tcW w:w="4394" w:type="dxa"/>
            <w:tcBorders>
              <w:top w:val="nil"/>
              <w:left w:val="nil"/>
              <w:bottom w:val="single" w:sz="4" w:space="0" w:color="auto"/>
              <w:right w:val="single" w:sz="4" w:space="0" w:color="auto"/>
            </w:tcBorders>
          </w:tcPr>
          <w:p w:rsidR="00861F3E" w:rsidRPr="00DB40D4" w:rsidRDefault="00861F3E" w:rsidP="00CC121E">
            <w:pPr>
              <w:pStyle w:val="TableParagraph"/>
              <w:spacing w:before="72"/>
              <w:ind w:left="102"/>
              <w:jc w:val="both"/>
              <w:rPr>
                <w:rFonts w:eastAsia="Times New Roman" w:cstheme="minorHAnsi"/>
                <w:color w:val="000000" w:themeColor="text1"/>
                <w:sz w:val="20"/>
                <w:szCs w:val="20"/>
                <w:lang w:val="es-419" w:eastAsia="pt-BR"/>
              </w:rPr>
            </w:pPr>
          </w:p>
        </w:tc>
        <w:tc>
          <w:tcPr>
            <w:tcW w:w="4248" w:type="dxa"/>
            <w:tcBorders>
              <w:top w:val="nil"/>
              <w:left w:val="nil"/>
              <w:bottom w:val="single" w:sz="4" w:space="0" w:color="auto"/>
              <w:right w:val="single" w:sz="4" w:space="0" w:color="auto"/>
            </w:tcBorders>
          </w:tcPr>
          <w:p w:rsidR="00861F3E" w:rsidRPr="00F03C43" w:rsidRDefault="00861F3E" w:rsidP="00CC121E">
            <w:pPr>
              <w:pStyle w:val="TableParagraph"/>
              <w:spacing w:before="72"/>
              <w:ind w:left="102"/>
              <w:jc w:val="both"/>
              <w:rPr>
                <w:rFonts w:eastAsia="Times New Roman" w:cstheme="minorHAnsi"/>
                <w:color w:val="000000"/>
                <w:sz w:val="20"/>
                <w:szCs w:val="20"/>
                <w:lang w:val="es-419" w:eastAsia="pt-BR"/>
              </w:rPr>
            </w:pPr>
          </w:p>
        </w:tc>
      </w:tr>
      <w:tr w:rsidR="00861F3E" w:rsidRPr="00F03C43" w:rsidTr="00861F3E">
        <w:trPr>
          <w:trHeight w:val="9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Artículo 15.- Las Instituciones deberán permitir a sus </w:t>
            </w:r>
            <w:r w:rsidRPr="00DB40D4">
              <w:rPr>
                <w:rFonts w:eastAsia="Times New Roman" w:cstheme="minorHAnsi"/>
                <w:strike/>
                <w:color w:val="000000" w:themeColor="text1"/>
                <w:sz w:val="20"/>
                <w:szCs w:val="20"/>
                <w:lang w:val="es-419" w:eastAsia="pt-BR"/>
              </w:rPr>
              <w:t>clientes retirar recursos</w:t>
            </w:r>
            <w:r w:rsidRPr="00DB40D4">
              <w:rPr>
                <w:rFonts w:eastAsia="Times New Roman" w:cstheme="minorHAnsi"/>
                <w:color w:val="000000" w:themeColor="text1"/>
                <w:sz w:val="20"/>
                <w:szCs w:val="20"/>
                <w:lang w:val="es-419" w:eastAsia="pt-BR"/>
              </w:rPr>
              <w:t xml:space="preserve"> de sus cuentas de conformidad con lo siguiente:</w:t>
            </w:r>
          </w:p>
        </w:tc>
        <w:tc>
          <w:tcPr>
            <w:tcW w:w="4394" w:type="dxa"/>
            <w:tcBorders>
              <w:top w:val="nil"/>
              <w:left w:val="nil"/>
              <w:bottom w:val="single" w:sz="4" w:space="0" w:color="auto"/>
              <w:right w:val="single" w:sz="4" w:space="0" w:color="auto"/>
            </w:tcBorders>
          </w:tcPr>
          <w:p w:rsidR="00861F3E" w:rsidRPr="00DB40D4" w:rsidRDefault="00861F3E" w:rsidP="00CC121E">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CC121E">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Artículo 15.- Las Instituciones que administren Cuentas de Depósito a la vista deberán permitir a sus titulares, </w:t>
            </w:r>
            <w:r w:rsidRPr="00DB40D4">
              <w:rPr>
                <w:rFonts w:eastAsia="Times New Roman" w:cstheme="minorHAnsi"/>
                <w:color w:val="000000" w:themeColor="text1"/>
                <w:sz w:val="20"/>
                <w:szCs w:val="20"/>
                <w:u w:val="single"/>
                <w:lang w:val="es-419" w:eastAsia="pt-BR"/>
              </w:rPr>
              <w:t>así como a los terceros debidamente autorizados por estos,</w:t>
            </w:r>
            <w:r w:rsidRPr="00DB40D4">
              <w:rPr>
                <w:rFonts w:eastAsia="Times New Roman" w:cstheme="minorHAnsi"/>
                <w:color w:val="000000" w:themeColor="text1"/>
                <w:sz w:val="20"/>
                <w:szCs w:val="20"/>
                <w:lang w:val="es-419" w:eastAsia="pt-BR"/>
              </w:rPr>
              <w:t xml:space="preserve"> realizar cargos en aquellas </w:t>
            </w:r>
            <w:r w:rsidRPr="00DB40D4">
              <w:rPr>
                <w:rFonts w:eastAsia="Times New Roman" w:cstheme="minorHAnsi"/>
                <w:color w:val="000000" w:themeColor="text1"/>
                <w:sz w:val="20"/>
                <w:szCs w:val="20"/>
                <w:u w:val="single"/>
                <w:lang w:val="es-419" w:eastAsia="pt-BR"/>
              </w:rPr>
              <w:t>para disponer de los recursos respectivos,</w:t>
            </w:r>
            <w:r w:rsidRPr="00DB40D4">
              <w:rPr>
                <w:rFonts w:eastAsia="Times New Roman" w:cstheme="minorHAnsi"/>
                <w:color w:val="000000" w:themeColor="text1"/>
                <w:sz w:val="20"/>
                <w:szCs w:val="20"/>
                <w:lang w:val="es-419" w:eastAsia="pt-BR"/>
              </w:rPr>
              <w:t xml:space="preserve"> de conformidad con lo siguiente:</w:t>
            </w:r>
          </w:p>
        </w:tc>
        <w:tc>
          <w:tcPr>
            <w:tcW w:w="4248" w:type="dxa"/>
            <w:tcBorders>
              <w:top w:val="nil"/>
              <w:left w:val="nil"/>
              <w:bottom w:val="single" w:sz="4" w:space="0" w:color="auto"/>
              <w:right w:val="single" w:sz="4" w:space="0" w:color="auto"/>
            </w:tcBorders>
          </w:tcPr>
          <w:p w:rsidR="00861F3E" w:rsidRDefault="00861F3E" w:rsidP="00CC121E">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6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 Respecto de las cuentas del nivel 1, exclusivamente a través de tarjetas de débito.</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 Respecto de las cuentas del nivel 1, exclusivamente a través de tarjetas de débito que cumplan con las siguientes características:</w:t>
            </w:r>
          </w:p>
        </w:tc>
        <w:tc>
          <w:tcPr>
            <w:tcW w:w="4248" w:type="dxa"/>
            <w:tcBorders>
              <w:top w:val="nil"/>
              <w:left w:val="nil"/>
              <w:bottom w:val="single" w:sz="4" w:space="0" w:color="auto"/>
              <w:right w:val="single" w:sz="4" w:space="0" w:color="auto"/>
            </w:tcBorders>
          </w:tcPr>
          <w:p w:rsidR="00861F3E" w:rsidRPr="00CC121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5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a) Aquellas incorporadas en medios físicos que solamente puedan ser utilizadas para realizar retiros y depósitos en cajeros automáticos, y sucursales, así como operaciones de pago en terminales punto de venta presenciales o remotas conectadas a redes de medios de disposición, a que se refiere la Ley para la Transparencia y Ordenamiento de Servicios Financieros, o</w:t>
            </w:r>
          </w:p>
        </w:tc>
        <w:tc>
          <w:tcPr>
            <w:tcW w:w="4248" w:type="dxa"/>
            <w:tcBorders>
              <w:top w:val="nil"/>
              <w:left w:val="nil"/>
              <w:bottom w:val="single" w:sz="4" w:space="0" w:color="auto"/>
              <w:right w:val="single" w:sz="4" w:space="0" w:color="auto"/>
            </w:tcBorders>
          </w:tcPr>
          <w:p w:rsidR="00861F3E" w:rsidRPr="00CC121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9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b) Aquellas emitidas en medios digitales que solamente puedan ser utilizadas para realizar retiros y depósitos en sucursales, así como operaciones de pago en terminales punto de venta presenciales o remotas señaladas en el inciso a) anterior.</w:t>
            </w:r>
          </w:p>
        </w:tc>
        <w:tc>
          <w:tcPr>
            <w:tcW w:w="4248" w:type="dxa"/>
            <w:tcBorders>
              <w:top w:val="single" w:sz="4" w:space="0" w:color="auto"/>
              <w:left w:val="single" w:sz="4" w:space="0" w:color="auto"/>
              <w:bottom w:val="single" w:sz="4" w:space="0" w:color="auto"/>
              <w:right w:val="single" w:sz="4" w:space="0" w:color="auto"/>
            </w:tcBorders>
          </w:tcPr>
          <w:p w:rsidR="00861F3E" w:rsidRPr="00CC121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234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Las </w:t>
            </w:r>
            <w:r w:rsidRPr="00DB40D4">
              <w:rPr>
                <w:rFonts w:eastAsia="Times New Roman" w:cstheme="minorHAnsi"/>
                <w:strike/>
                <w:color w:val="000000" w:themeColor="text1"/>
                <w:sz w:val="20"/>
                <w:szCs w:val="20"/>
                <w:lang w:val="es-419" w:eastAsia="pt-BR"/>
              </w:rPr>
              <w:t>Instituciones no deberán permitir que los recursos de las cuentas nivel 1 se dispongan mediante teléfonos móviles o cualquier otro dispositivo electrónico distinto a cajeros automáticos y terminales punto de venta.</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w:t>
            </w:r>
          </w:p>
        </w:tc>
        <w:tc>
          <w:tcPr>
            <w:tcW w:w="4248" w:type="dxa"/>
            <w:tcBorders>
              <w:top w:val="single" w:sz="4" w:space="0" w:color="auto"/>
              <w:left w:val="single" w:sz="4" w:space="0" w:color="auto"/>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564"/>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lastRenderedPageBreak/>
              <w:t>II. En relación con las cuentas de los niveles 2, 3 y 4, a través de los medios que las Instituciones determinen, tales como transferencias electrónicas de fondos, incluyendo la Domiciliación y tarjetas de débito.</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w:t>
            </w:r>
          </w:p>
        </w:tc>
        <w:tc>
          <w:tcPr>
            <w:tcW w:w="4248" w:type="dxa"/>
            <w:tcBorders>
              <w:top w:val="single" w:sz="4" w:space="0" w:color="auto"/>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eastAsia="pt-BR"/>
              </w:rPr>
            </w:pPr>
          </w:p>
        </w:tc>
      </w:tr>
      <w:tr w:rsidR="00861F3E" w:rsidRPr="00F03C43" w:rsidTr="00861F3E">
        <w:trPr>
          <w:trHeight w:val="1065"/>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III. Únicamente en las cuentas del nivel 4 podrán autorizarse retiros mediante el libramiento de cheques.</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w:t>
            </w:r>
          </w:p>
        </w:tc>
        <w:tc>
          <w:tcPr>
            <w:tcW w:w="4248" w:type="dxa"/>
            <w:tcBorders>
              <w:top w:val="nil"/>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b/>
                <w:bCs/>
                <w:color w:val="000000" w:themeColor="text1"/>
                <w:sz w:val="20"/>
                <w:szCs w:val="20"/>
                <w:lang w:val="es-419" w:eastAsia="pt-BR"/>
              </w:rPr>
              <w:t>Medios de disposición y de pago</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p>
        </w:tc>
        <w:tc>
          <w:tcPr>
            <w:tcW w:w="4248" w:type="dxa"/>
            <w:tcBorders>
              <w:top w:val="nil"/>
              <w:left w:val="nil"/>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color w:val="000000"/>
                <w:sz w:val="20"/>
                <w:szCs w:val="20"/>
                <w:lang w:eastAsia="pt-BR"/>
              </w:rPr>
            </w:pPr>
          </w:p>
        </w:tc>
      </w:tr>
      <w:tr w:rsidR="00861F3E" w:rsidRPr="00F03C43" w:rsidTr="00861F3E">
        <w:trPr>
          <w:trHeight w:val="1035"/>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b/>
                <w:bCs/>
                <w:color w:val="000000" w:themeColor="text1"/>
                <w:sz w:val="20"/>
                <w:szCs w:val="20"/>
                <w:lang w:val="es-419" w:eastAsia="pt-BR"/>
              </w:rPr>
              <w:t>Artículo 16.-</w:t>
            </w:r>
            <w:r w:rsidRPr="00DB40D4">
              <w:rPr>
                <w:rFonts w:eastAsia="Times New Roman" w:cstheme="minorHAnsi"/>
                <w:color w:val="000000" w:themeColor="text1"/>
                <w:sz w:val="20"/>
                <w:szCs w:val="20"/>
                <w:lang w:val="es-419" w:eastAsia="pt-BR"/>
              </w:rPr>
              <w:t xml:space="preserve"> </w:t>
            </w:r>
            <w:r w:rsidRPr="00DB40D4">
              <w:rPr>
                <w:rFonts w:eastAsia="Times New Roman" w:cstheme="minorHAnsi"/>
                <w:strike/>
                <w:color w:val="000000" w:themeColor="text1"/>
                <w:sz w:val="20"/>
                <w:szCs w:val="20"/>
                <w:lang w:val="es-419" w:eastAsia="pt-BR"/>
              </w:rPr>
              <w:t>Los</w:t>
            </w:r>
            <w:r w:rsidRPr="00DB40D4">
              <w:rPr>
                <w:rFonts w:eastAsia="Times New Roman" w:cstheme="minorHAnsi"/>
                <w:color w:val="000000" w:themeColor="text1"/>
                <w:sz w:val="20"/>
                <w:szCs w:val="20"/>
                <w:lang w:val="es-419" w:eastAsia="pt-BR"/>
              </w:rPr>
              <w:t xml:space="preserve"> medios de disposición y de pago </w:t>
            </w:r>
            <w:r w:rsidRPr="00DB40D4">
              <w:rPr>
                <w:rFonts w:eastAsia="Times New Roman" w:cstheme="minorHAnsi"/>
                <w:strike/>
                <w:color w:val="000000" w:themeColor="text1"/>
                <w:sz w:val="20"/>
                <w:szCs w:val="20"/>
                <w:lang w:val="es-419" w:eastAsia="pt-BR"/>
              </w:rPr>
              <w:t>serán los</w:t>
            </w:r>
            <w:r w:rsidRPr="00DB40D4">
              <w:rPr>
                <w:rFonts w:eastAsia="Times New Roman" w:cstheme="minorHAnsi"/>
                <w:color w:val="000000" w:themeColor="text1"/>
                <w:sz w:val="20"/>
                <w:szCs w:val="20"/>
                <w:lang w:val="es-419" w:eastAsia="pt-BR"/>
              </w:rPr>
              <w:t xml:space="preserve"> siguientes:</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Artículo 16.- Las Instituciones únicamente podrán ofrecer a los titulares de las Cuentas de Depósitos a la vista los medios de disposición y de pago siguientes:</w:t>
            </w:r>
          </w:p>
        </w:tc>
        <w:tc>
          <w:tcPr>
            <w:tcW w:w="4248" w:type="dxa"/>
            <w:tcBorders>
              <w:top w:val="nil"/>
              <w:left w:val="nil"/>
              <w:bottom w:val="single" w:sz="4" w:space="0" w:color="auto"/>
              <w:right w:val="single" w:sz="4" w:space="0" w:color="auto"/>
            </w:tcBorders>
          </w:tcPr>
          <w:p w:rsidR="00861F3E" w:rsidRPr="00CC121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I. Transferencias electrónicas de fondos;</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w:t>
            </w:r>
          </w:p>
        </w:tc>
        <w:tc>
          <w:tcPr>
            <w:tcW w:w="4248" w:type="dxa"/>
            <w:tcBorders>
              <w:top w:val="nil"/>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II. Tarjetas de débito, y</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w:t>
            </w:r>
          </w:p>
        </w:tc>
        <w:tc>
          <w:tcPr>
            <w:tcW w:w="4248" w:type="dxa"/>
            <w:tcBorders>
              <w:top w:val="nil"/>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III. Cheques.</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w:t>
            </w:r>
          </w:p>
        </w:tc>
        <w:tc>
          <w:tcPr>
            <w:tcW w:w="4248" w:type="dxa"/>
            <w:tcBorders>
              <w:top w:val="nil"/>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b/>
                <w:bCs/>
                <w:color w:val="000000" w:themeColor="text1"/>
                <w:sz w:val="20"/>
                <w:szCs w:val="20"/>
                <w:lang w:val="es-419" w:eastAsia="pt-BR"/>
              </w:rPr>
              <w:t>Características de las tarjetas de débito</w:t>
            </w:r>
            <w:r w:rsidRPr="00DB40D4">
              <w:rPr>
                <w:rFonts w:eastAsia="Times New Roman" w:cstheme="minorHAnsi"/>
                <w:color w:val="000000" w:themeColor="text1"/>
                <w:sz w:val="20"/>
                <w:szCs w:val="20"/>
                <w:lang w:val="es-419" w:eastAsia="pt-BR"/>
              </w:rPr>
              <w:t xml:space="preserve">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nil"/>
              <w:left w:val="nil"/>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sz w:val="20"/>
                <w:szCs w:val="20"/>
                <w:lang w:val="es-419" w:eastAsia="pt-BR"/>
              </w:rPr>
            </w:pPr>
          </w:p>
        </w:tc>
      </w:tr>
      <w:tr w:rsidR="00861F3E" w:rsidRPr="00F03C43" w:rsidTr="00861F3E">
        <w:trPr>
          <w:trHeight w:val="692"/>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b/>
                <w:bCs/>
                <w:color w:val="000000" w:themeColor="text1"/>
                <w:sz w:val="20"/>
                <w:szCs w:val="20"/>
                <w:lang w:val="es-419" w:eastAsia="pt-BR"/>
              </w:rPr>
              <w:t>Artículo 18.-</w:t>
            </w:r>
            <w:r w:rsidRPr="00DB40D4">
              <w:rPr>
                <w:rFonts w:eastAsia="Times New Roman" w:cstheme="minorHAnsi"/>
                <w:color w:val="000000" w:themeColor="text1"/>
                <w:sz w:val="20"/>
                <w:szCs w:val="20"/>
                <w:lang w:val="es-419" w:eastAsia="pt-BR"/>
              </w:rPr>
              <w:t xml:space="preserve"> </w:t>
            </w:r>
            <w:r w:rsidRPr="00DB40D4">
              <w:rPr>
                <w:rFonts w:eastAsia="Times New Roman" w:cstheme="minorHAnsi"/>
                <w:strike/>
                <w:color w:val="000000" w:themeColor="text1"/>
                <w:sz w:val="20"/>
                <w:szCs w:val="20"/>
                <w:lang w:val="es-419" w:eastAsia="pt-BR"/>
              </w:rPr>
              <w:t xml:space="preserve">Las tarjetas de débito podrán presentarse en las formas que determinen las Instituciones, siempre y cuando en ellas se muestre </w:t>
            </w:r>
            <w:r w:rsidRPr="00DB40D4">
              <w:rPr>
                <w:rFonts w:eastAsia="Times New Roman" w:cstheme="minorHAnsi"/>
                <w:color w:val="000000" w:themeColor="text1"/>
                <w:sz w:val="20"/>
                <w:szCs w:val="20"/>
                <w:lang w:val="es-419" w:eastAsia="pt-BR"/>
              </w:rPr>
              <w:t>claramente la denominación de las Institucion</w:t>
            </w:r>
            <w:r w:rsidRPr="00DB40D4">
              <w:rPr>
                <w:rFonts w:eastAsia="Times New Roman" w:cstheme="minorHAnsi"/>
                <w:strike/>
                <w:color w:val="000000" w:themeColor="text1"/>
                <w:sz w:val="20"/>
                <w:szCs w:val="20"/>
                <w:lang w:val="es-419" w:eastAsia="pt-BR"/>
              </w:rPr>
              <w:t>es</w:t>
            </w:r>
            <w:r w:rsidRPr="00DB40D4">
              <w:rPr>
                <w:rFonts w:eastAsia="Times New Roman" w:cstheme="minorHAnsi"/>
                <w:color w:val="000000" w:themeColor="text1"/>
                <w:sz w:val="20"/>
                <w:szCs w:val="20"/>
                <w:lang w:val="es-419" w:eastAsia="pt-BR"/>
              </w:rPr>
              <w:t xml:space="preserve"> emisor</w:t>
            </w:r>
            <w:r w:rsidRPr="00DB40D4">
              <w:rPr>
                <w:rFonts w:eastAsia="Times New Roman" w:cstheme="minorHAnsi"/>
                <w:strike/>
                <w:color w:val="000000" w:themeColor="text1"/>
                <w:sz w:val="20"/>
                <w:szCs w:val="20"/>
                <w:lang w:val="es-419" w:eastAsia="pt-BR"/>
              </w:rPr>
              <w:t>as</w:t>
            </w:r>
            <w:r w:rsidRPr="00DB40D4">
              <w:rPr>
                <w:rFonts w:eastAsia="Times New Roman" w:cstheme="minorHAnsi"/>
                <w:color w:val="000000" w:themeColor="text1"/>
                <w:sz w:val="20"/>
                <w:szCs w:val="20"/>
                <w:lang w:val="es-419" w:eastAsia="pt-BR"/>
              </w:rPr>
              <w:t xml:space="preserve"> o cualquier otra expresión, simbología, emblema o logotipo que las identifique.</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i/>
                <w:iCs/>
                <w:color w:val="000000" w:themeColor="text1"/>
                <w:sz w:val="20"/>
                <w:szCs w:val="20"/>
                <w:lang w:val="es-419" w:eastAsia="pt-BR"/>
              </w:rPr>
            </w:pPr>
            <w:r w:rsidRPr="00DB40D4">
              <w:rPr>
                <w:rFonts w:eastAsia="Times New Roman" w:cstheme="minorHAnsi"/>
                <w:i/>
                <w:iCs/>
                <w:color w:val="000000" w:themeColor="text1"/>
                <w:sz w:val="20"/>
                <w:szCs w:val="20"/>
                <w:lang w:val="es-419" w:eastAsia="pt-BR"/>
              </w:rPr>
              <w:t xml:space="preserve"> </w:t>
            </w:r>
            <w:r w:rsidRPr="00DB40D4">
              <w:rPr>
                <w:rFonts w:eastAsia="Times New Roman" w:cstheme="minorHAnsi"/>
                <w:color w:val="000000" w:themeColor="text1"/>
                <w:sz w:val="20"/>
                <w:szCs w:val="20"/>
                <w:lang w:val="es-419" w:eastAsia="pt-BR"/>
              </w:rPr>
              <w:t xml:space="preserve">Artículo 18.- La tarjeta de débito que emita la Institución que lleve la Cuenta respectiva consistirá en el conjunto de datos </w:t>
            </w:r>
            <w:r w:rsidRPr="00DB40D4">
              <w:rPr>
                <w:rFonts w:eastAsia="Times New Roman" w:cstheme="minorHAnsi"/>
                <w:color w:val="000000" w:themeColor="text1"/>
                <w:sz w:val="20"/>
                <w:szCs w:val="20"/>
                <w:u w:val="single"/>
                <w:lang w:val="es-419" w:eastAsia="pt-BR"/>
              </w:rPr>
              <w:t>integrados con independencia del medio en el que estén almacenados,</w:t>
            </w:r>
            <w:r w:rsidRPr="00DB40D4">
              <w:rPr>
                <w:rFonts w:eastAsia="Times New Roman" w:cstheme="minorHAnsi"/>
                <w:color w:val="000000" w:themeColor="text1"/>
                <w:sz w:val="20"/>
                <w:szCs w:val="20"/>
                <w:lang w:val="es-419" w:eastAsia="pt-BR"/>
              </w:rPr>
              <w:t xml:space="preserve"> que, al procesarse mediante sistemas determinados, permiten iniciar una instrucción de cargo a dicha Cuenta.</w:t>
            </w:r>
          </w:p>
        </w:tc>
        <w:tc>
          <w:tcPr>
            <w:tcW w:w="4248" w:type="dxa"/>
            <w:tcBorders>
              <w:top w:val="nil"/>
              <w:left w:val="nil"/>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i/>
                <w:iCs/>
                <w:sz w:val="20"/>
                <w:szCs w:val="20"/>
                <w:lang w:val="es-419" w:eastAsia="pt-BR"/>
              </w:rPr>
            </w:pPr>
          </w:p>
        </w:tc>
      </w:tr>
      <w:tr w:rsidR="00861F3E" w:rsidRPr="00F03C43" w:rsidTr="00861F3E">
        <w:trPr>
          <w:trHeight w:val="1849"/>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strike/>
                <w:color w:val="000000" w:themeColor="text1"/>
                <w:sz w:val="20"/>
                <w:szCs w:val="20"/>
                <w:lang w:val="es-419" w:eastAsia="pt-BR"/>
              </w:rPr>
              <w:t>Además de lo anterior, las tarjetas de débito asociadas a cuentas de los niveles 2, 3 y 4 podrán establecerse bajo la forma de microcircuitos contenidos en teléfonos móviles, siempre que, al utilizarse la aplicación respectiva, se muestre claramente la denominación de la Institución emisora o cualquier otra expresión, simbología, emblema o logotipo que las identifique.</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La Institución, a fin de permitir que el </w:t>
            </w:r>
            <w:r w:rsidRPr="00DB40D4">
              <w:rPr>
                <w:rFonts w:eastAsia="Times New Roman" w:cstheme="minorHAnsi"/>
                <w:color w:val="000000" w:themeColor="text1"/>
                <w:sz w:val="20"/>
                <w:szCs w:val="20"/>
                <w:u w:val="single"/>
                <w:lang w:val="es-419" w:eastAsia="pt-BR"/>
              </w:rPr>
              <w:t>Tarjetahabiente</w:t>
            </w:r>
            <w:r w:rsidRPr="00DB40D4">
              <w:rPr>
                <w:rFonts w:eastAsia="Times New Roman" w:cstheme="minorHAnsi"/>
                <w:color w:val="000000" w:themeColor="text1"/>
                <w:sz w:val="20"/>
                <w:szCs w:val="20"/>
                <w:lang w:val="es-419" w:eastAsia="pt-BR"/>
              </w:rPr>
              <w:t xml:space="preserve"> utilice la tarjeta de débito para realizar las operaciones a que se refiere el artículo 19, deberá poner a disposición </w:t>
            </w:r>
            <w:r w:rsidRPr="00DB40D4">
              <w:rPr>
                <w:rFonts w:eastAsia="Times New Roman" w:cstheme="minorHAnsi"/>
                <w:color w:val="000000" w:themeColor="text1"/>
                <w:sz w:val="20"/>
                <w:szCs w:val="20"/>
                <w:u w:val="single"/>
                <w:lang w:val="es-419" w:eastAsia="pt-BR"/>
              </w:rPr>
              <w:t>del titular de la Cuenta respectiva o, en su caso, del Tarjetahabiente adicional, a través de los medios pactados al efecto con dicho titular, al menos</w:t>
            </w:r>
            <w:r w:rsidRPr="00DB40D4">
              <w:rPr>
                <w:rFonts w:eastAsia="Times New Roman" w:cstheme="minorHAnsi"/>
                <w:color w:val="000000" w:themeColor="text1"/>
                <w:sz w:val="20"/>
                <w:szCs w:val="20"/>
                <w:lang w:val="es-419" w:eastAsia="pt-BR"/>
              </w:rPr>
              <w:t>, la siguiente información que corresponda a la tarjeta:</w:t>
            </w:r>
          </w:p>
        </w:tc>
        <w:tc>
          <w:tcPr>
            <w:tcW w:w="4248" w:type="dxa"/>
            <w:tcBorders>
              <w:top w:val="single" w:sz="4" w:space="0" w:color="auto"/>
              <w:left w:val="single" w:sz="4" w:space="0" w:color="auto"/>
              <w:bottom w:val="single" w:sz="4" w:space="0" w:color="auto"/>
              <w:right w:val="single" w:sz="4" w:space="0" w:color="auto"/>
            </w:tcBorders>
          </w:tcPr>
          <w:p w:rsidR="00861F3E" w:rsidRPr="00EE1544" w:rsidRDefault="00861F3E" w:rsidP="00776493">
            <w:pPr>
              <w:spacing w:after="0" w:line="240" w:lineRule="auto"/>
              <w:jc w:val="both"/>
              <w:rPr>
                <w:rFonts w:eastAsia="Times New Roman" w:cstheme="minorHAnsi"/>
                <w:color w:val="000000" w:themeColor="text1"/>
                <w:sz w:val="20"/>
                <w:szCs w:val="20"/>
                <w:lang w:val="es-419" w:eastAsia="pt-BR"/>
              </w:rPr>
            </w:pPr>
            <w:r w:rsidRPr="00136A4B">
              <w:rPr>
                <w:rFonts w:eastAsia="Times New Roman" w:cstheme="minorHAnsi"/>
                <w:color w:val="002060"/>
                <w:sz w:val="20"/>
                <w:szCs w:val="20"/>
                <w:lang w:val="es-419" w:eastAsia="pt-BR"/>
              </w:rPr>
              <w:t>Actualmente, esta información se entrega al cliente cuando se asigna la tarjeta, es necesario clarificar si con esto se da cumplimiento.</w:t>
            </w:r>
          </w:p>
        </w:tc>
      </w:tr>
      <w:tr w:rsidR="00861F3E" w:rsidRPr="00F03C43" w:rsidTr="00861F3E">
        <w:trPr>
          <w:trHeight w:val="3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 Los dígitos de identificación única de la tarjeta de débito;</w:t>
            </w:r>
          </w:p>
        </w:tc>
        <w:tc>
          <w:tcPr>
            <w:tcW w:w="4248" w:type="dxa"/>
            <w:tcBorders>
              <w:top w:val="single" w:sz="4" w:space="0" w:color="auto"/>
              <w:left w:val="nil"/>
              <w:bottom w:val="single" w:sz="4" w:space="0" w:color="auto"/>
              <w:right w:val="single" w:sz="4" w:space="0" w:color="auto"/>
            </w:tcBorders>
          </w:tcPr>
          <w:p w:rsidR="00861F3E" w:rsidRPr="00EE1544"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II. La fecha de vencimiento;</w:t>
            </w:r>
          </w:p>
        </w:tc>
        <w:tc>
          <w:tcPr>
            <w:tcW w:w="4248" w:type="dxa"/>
            <w:tcBorders>
              <w:top w:val="nil"/>
              <w:left w:val="nil"/>
              <w:bottom w:val="single" w:sz="4" w:space="0" w:color="auto"/>
              <w:right w:val="single" w:sz="4" w:space="0" w:color="auto"/>
            </w:tcBorders>
          </w:tcPr>
          <w:p w:rsidR="00861F3E" w:rsidRPr="00EE1544"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III. La marca </w:t>
            </w:r>
            <w:r w:rsidRPr="00DB40D4">
              <w:rPr>
                <w:rFonts w:eastAsia="Times New Roman" w:cstheme="minorHAnsi"/>
                <w:color w:val="000000" w:themeColor="text1"/>
                <w:sz w:val="20"/>
                <w:szCs w:val="20"/>
                <w:u w:val="single"/>
                <w:lang w:val="es-419" w:eastAsia="pt-BR"/>
              </w:rPr>
              <w:t>comercial bajo la cual la Institución emita la tarjeta respectiva, conforme al convenio celebrado con la empresa titular de dicha marca que, en tal virtud, se obligue a garantizar la liquidación de los pagos correspondientes a los cargos hechos con dicha tarjeta, en caso de incumplimiento por parte de la Institución, y</w:t>
            </w:r>
          </w:p>
        </w:tc>
        <w:tc>
          <w:tcPr>
            <w:tcW w:w="4248" w:type="dxa"/>
            <w:tcBorders>
              <w:top w:val="nil"/>
              <w:left w:val="nil"/>
              <w:bottom w:val="single" w:sz="4" w:space="0" w:color="auto"/>
              <w:right w:val="single" w:sz="4" w:space="0" w:color="auto"/>
            </w:tcBorders>
          </w:tcPr>
          <w:p w:rsidR="00861F3E" w:rsidRPr="00EE1544"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6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IV. El código de seguridad de la tarjeta, asignado como dato adicional de seguridad en la realización de operaciones no presenciales con esta.</w:t>
            </w:r>
          </w:p>
        </w:tc>
        <w:tc>
          <w:tcPr>
            <w:tcW w:w="4248" w:type="dxa"/>
            <w:tcBorders>
              <w:top w:val="nil"/>
              <w:left w:val="nil"/>
              <w:bottom w:val="single" w:sz="4" w:space="0" w:color="auto"/>
              <w:right w:val="single" w:sz="4" w:space="0" w:color="auto"/>
            </w:tcBorders>
          </w:tcPr>
          <w:p w:rsidR="00861F3E" w:rsidRPr="00EE1544"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989"/>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pStyle w:val="Textoindependiente"/>
              <w:ind w:left="76" w:right="217"/>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La Institución que emita tarjetas de débito con circuito integrado o chip deberá observar los estándares de seguridad y procesamiento establecidos por la empresa constituida conforme a la legislación de los Estados Unidos de América, denominada EMVCo, LLC o, en su caso, aquellos otros que el Banco de México determine como equivalente </w:t>
            </w:r>
            <w:r w:rsidRPr="00DB40D4">
              <w:rPr>
                <w:rFonts w:eastAsia="Times New Roman" w:cstheme="minorHAnsi"/>
                <w:strike/>
                <w:color w:val="000000" w:themeColor="text1"/>
                <w:sz w:val="20"/>
                <w:szCs w:val="20"/>
                <w:lang w:val="es-419" w:eastAsia="pt-BR"/>
              </w:rPr>
              <w:t>en materia de seguridad</w:t>
            </w:r>
            <w:r w:rsidRPr="00DB40D4">
              <w:rPr>
                <w:rFonts w:eastAsia="Times New Roman" w:cstheme="minorHAnsi"/>
                <w:color w:val="000000" w:themeColor="text1"/>
                <w:sz w:val="20"/>
                <w:szCs w:val="20"/>
                <w:lang w:val="es-419" w:eastAsia="pt-BR"/>
              </w:rPr>
              <w:t xml:space="preserve"> </w:t>
            </w:r>
            <w:r w:rsidRPr="00DB40D4">
              <w:rPr>
                <w:rFonts w:eastAsia="Times New Roman" w:cstheme="minorHAnsi"/>
                <w:color w:val="000000" w:themeColor="text1"/>
                <w:sz w:val="20"/>
                <w:szCs w:val="20"/>
                <w:u w:val="single"/>
                <w:lang w:val="es-419" w:eastAsia="pt-BR"/>
              </w:rPr>
              <w:t>en relación con el uso y funcionamiento del referido circuito integrado o chip,</w:t>
            </w:r>
            <w:r w:rsidRPr="00DB40D4">
              <w:rPr>
                <w:rFonts w:eastAsia="Times New Roman" w:cstheme="minorHAnsi"/>
                <w:color w:val="000000" w:themeColor="text1"/>
                <w:sz w:val="20"/>
                <w:szCs w:val="20"/>
                <w:lang w:val="es-419" w:eastAsia="pt-BR"/>
              </w:rPr>
              <w:t xml:space="preserve"> en aquellos supuestos en que la operación con tarjeta implique obtener la información de la tarjeta directamente de dicho circuito integrado o chip.</w:t>
            </w:r>
          </w:p>
          <w:p w:rsidR="00861F3E" w:rsidRPr="00DB40D4" w:rsidRDefault="00861F3E" w:rsidP="00776493">
            <w:pPr>
              <w:pStyle w:val="Textoindependiente"/>
              <w:ind w:left="76" w:right="217"/>
              <w:jc w:val="both"/>
              <w:rPr>
                <w:rFonts w:eastAsia="Times New Roman" w:cstheme="minorHAnsi"/>
                <w:color w:val="000000" w:themeColor="text1"/>
                <w:sz w:val="20"/>
                <w:szCs w:val="20"/>
                <w:lang w:val="es-419" w:eastAsia="pt-BR"/>
              </w:rPr>
            </w:pPr>
          </w:p>
        </w:tc>
        <w:tc>
          <w:tcPr>
            <w:tcW w:w="4248" w:type="dxa"/>
            <w:tcBorders>
              <w:top w:val="single" w:sz="4" w:space="0" w:color="auto"/>
              <w:left w:val="single" w:sz="4" w:space="0" w:color="auto"/>
              <w:bottom w:val="single" w:sz="4" w:space="0" w:color="auto"/>
              <w:right w:val="single" w:sz="4" w:space="0" w:color="auto"/>
            </w:tcBorders>
          </w:tcPr>
          <w:p w:rsidR="00861F3E" w:rsidRPr="00EE1544" w:rsidRDefault="00861F3E" w:rsidP="00776493">
            <w:pPr>
              <w:pStyle w:val="Textoindependiente"/>
              <w:ind w:left="76" w:right="217"/>
              <w:jc w:val="both"/>
              <w:rPr>
                <w:rFonts w:eastAsia="Times New Roman" w:cstheme="minorHAnsi"/>
                <w:color w:val="000000"/>
                <w:sz w:val="20"/>
                <w:szCs w:val="20"/>
                <w:lang w:val="es-419" w:eastAsia="pt-BR"/>
              </w:rPr>
            </w:pPr>
          </w:p>
        </w:tc>
      </w:tr>
      <w:tr w:rsidR="00861F3E" w:rsidRPr="00F03C43" w:rsidTr="00861F3E">
        <w:trPr>
          <w:trHeight w:val="1642"/>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strike/>
                <w:color w:val="000000" w:themeColor="text1"/>
                <w:sz w:val="20"/>
                <w:szCs w:val="20"/>
                <w:lang w:val="es-419" w:eastAsia="pt-BR"/>
              </w:rPr>
              <w:t>Las Instituciones deberán incorporar en el anverso de las tarjetas su fecha de vencimiento de manera visible. Tratándose de otras formas de tarjetas de débito que tengan vigencia definida, las Instituciones deberán darla a conocer a sus clientes en algún medio que deje constancia de ello.</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En el evento en que alguna Institución pretenda utilizar cualquier estándar distinto al mencionado en el párrafo anterior, deberá </w:t>
            </w:r>
            <w:r w:rsidRPr="00DB40D4">
              <w:rPr>
                <w:rFonts w:eastAsia="Times New Roman" w:cstheme="minorHAnsi"/>
                <w:color w:val="000000" w:themeColor="text1"/>
                <w:sz w:val="20"/>
                <w:szCs w:val="20"/>
                <w:u w:val="single"/>
                <w:lang w:val="es-419" w:eastAsia="pt-BR"/>
              </w:rPr>
              <w:t>obtener previamente la autorización del Banco de México</w:t>
            </w:r>
            <w:r w:rsidRPr="00DB40D4">
              <w:rPr>
                <w:rFonts w:eastAsia="Times New Roman" w:cstheme="minorHAnsi"/>
                <w:color w:val="000000" w:themeColor="text1"/>
                <w:sz w:val="20"/>
                <w:szCs w:val="20"/>
                <w:lang w:val="es-419" w:eastAsia="pt-BR"/>
              </w:rPr>
              <w:t>, para lo cual deberá presentar la solicitud respectiva a la Gerencia de Autorizaciones, Consultas y Control de Legalidad.</w:t>
            </w: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single" w:sz="4" w:space="0" w:color="auto"/>
              <w:left w:val="nil"/>
              <w:bottom w:val="single" w:sz="4" w:space="0" w:color="auto"/>
              <w:right w:val="single" w:sz="4" w:space="0" w:color="auto"/>
            </w:tcBorders>
          </w:tcPr>
          <w:p w:rsidR="00861F3E" w:rsidRPr="005D6DEB"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b/>
                <w:bCs/>
                <w:color w:val="000000" w:themeColor="text1"/>
                <w:sz w:val="20"/>
                <w:szCs w:val="20"/>
                <w:lang w:val="es-419" w:eastAsia="pt-BR"/>
              </w:rPr>
              <w:t>Utilización de las tarjetas de débito</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w:t>
            </w:r>
          </w:p>
        </w:tc>
        <w:tc>
          <w:tcPr>
            <w:tcW w:w="4248" w:type="dxa"/>
            <w:tcBorders>
              <w:top w:val="nil"/>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eastAsia="pt-BR"/>
              </w:rPr>
            </w:pPr>
          </w:p>
        </w:tc>
      </w:tr>
      <w:tr w:rsidR="00861F3E" w:rsidRPr="00F03C43" w:rsidTr="00861F3E">
        <w:trPr>
          <w:trHeight w:val="1576"/>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b/>
                <w:bCs/>
                <w:color w:val="000000" w:themeColor="text1"/>
                <w:sz w:val="20"/>
                <w:szCs w:val="20"/>
                <w:lang w:val="es-419" w:eastAsia="pt-BR"/>
              </w:rPr>
              <w:t>Artículo 19.-</w:t>
            </w:r>
            <w:r w:rsidRPr="00DB40D4">
              <w:rPr>
                <w:rFonts w:eastAsia="Times New Roman" w:cstheme="minorHAnsi"/>
                <w:strike/>
                <w:color w:val="000000" w:themeColor="text1"/>
                <w:sz w:val="20"/>
                <w:szCs w:val="20"/>
                <w:lang w:val="es-419" w:eastAsia="pt-BR"/>
              </w:rPr>
              <w:t xml:space="preserve"> Las tarjetas de débito podrán utilizarse para </w:t>
            </w:r>
            <w:r w:rsidRPr="00DB40D4">
              <w:rPr>
                <w:rFonts w:eastAsia="Times New Roman" w:cstheme="minorHAnsi"/>
                <w:color w:val="000000" w:themeColor="text1"/>
                <w:sz w:val="20"/>
                <w:szCs w:val="20"/>
                <w:lang w:val="es-419" w:eastAsia="pt-BR"/>
              </w:rPr>
              <w:t xml:space="preserve">disponer de efectivo en las sucursales de la Institución </w:t>
            </w:r>
            <w:r w:rsidRPr="00DB40D4">
              <w:rPr>
                <w:rFonts w:eastAsia="Times New Roman" w:cstheme="minorHAnsi"/>
                <w:strike/>
                <w:color w:val="000000" w:themeColor="text1"/>
                <w:sz w:val="20"/>
                <w:szCs w:val="20"/>
                <w:lang w:val="es-419" w:eastAsia="pt-BR"/>
              </w:rPr>
              <w:t>emisora,</w:t>
            </w:r>
            <w:r w:rsidRPr="00DB40D4">
              <w:rPr>
                <w:rFonts w:eastAsia="Times New Roman" w:cstheme="minorHAnsi"/>
                <w:color w:val="000000" w:themeColor="text1"/>
                <w:sz w:val="20"/>
                <w:szCs w:val="20"/>
                <w:lang w:val="es-419" w:eastAsia="pt-BR"/>
              </w:rPr>
              <w:t xml:space="preserve"> en cajeros automáticos, a través de comisionistas bancarios,</w:t>
            </w:r>
            <w:r w:rsidRPr="00DB40D4">
              <w:rPr>
                <w:rFonts w:eastAsia="Times New Roman" w:cstheme="minorHAnsi"/>
                <w:strike/>
                <w:color w:val="000000" w:themeColor="text1"/>
                <w:sz w:val="20"/>
                <w:szCs w:val="20"/>
                <w:lang w:val="es-419" w:eastAsia="pt-BR"/>
              </w:rPr>
              <w:t xml:space="preserve"> en negocios afiliados</w:t>
            </w:r>
            <w:r w:rsidRPr="00DB40D4">
              <w:rPr>
                <w:rFonts w:eastAsia="Times New Roman" w:cstheme="minorHAnsi"/>
                <w:color w:val="000000" w:themeColor="text1"/>
                <w:sz w:val="20"/>
                <w:szCs w:val="20"/>
                <w:lang w:val="es-419" w:eastAsia="pt-BR"/>
              </w:rPr>
              <w:t xml:space="preserve">; para pagar bienes, servicios, créditos e impuestos, </w:t>
            </w:r>
            <w:r w:rsidRPr="00DB40D4">
              <w:rPr>
                <w:rFonts w:eastAsia="Times New Roman" w:cstheme="minorHAnsi"/>
                <w:strike/>
                <w:color w:val="000000" w:themeColor="text1"/>
                <w:sz w:val="20"/>
                <w:szCs w:val="20"/>
                <w:lang w:val="es-419" w:eastAsia="pt-BR"/>
              </w:rPr>
              <w:t>así como para</w:t>
            </w:r>
            <w:r w:rsidRPr="00DB40D4">
              <w:rPr>
                <w:rFonts w:eastAsia="Times New Roman" w:cstheme="minorHAnsi"/>
                <w:color w:val="000000" w:themeColor="text1"/>
                <w:sz w:val="20"/>
                <w:szCs w:val="20"/>
                <w:lang w:val="es-419" w:eastAsia="pt-BR"/>
              </w:rPr>
              <w:t xml:space="preserve"> realizar otros pagos que las Instituciones permitan a sus clientes.</w:t>
            </w:r>
          </w:p>
        </w:tc>
        <w:tc>
          <w:tcPr>
            <w:tcW w:w="4394" w:type="dxa"/>
            <w:tcBorders>
              <w:top w:val="nil"/>
              <w:left w:val="nil"/>
              <w:bottom w:val="single" w:sz="4" w:space="0" w:color="auto"/>
              <w:right w:val="single" w:sz="4" w:space="0" w:color="auto"/>
            </w:tcBorders>
          </w:tcPr>
          <w:p w:rsidR="00861F3E" w:rsidRPr="00DB40D4" w:rsidRDefault="00861F3E" w:rsidP="00776493">
            <w:pPr>
              <w:pStyle w:val="Textoindependiente"/>
              <w:ind w:left="0" w:right="217"/>
              <w:jc w:val="both"/>
              <w:rPr>
                <w:rFonts w:eastAsia="Times New Roman" w:cstheme="minorHAnsi"/>
                <w:color w:val="000000" w:themeColor="text1"/>
                <w:sz w:val="20"/>
                <w:szCs w:val="20"/>
                <w:lang w:val="es-419" w:eastAsia="pt-BR"/>
              </w:rPr>
            </w:pPr>
          </w:p>
          <w:p w:rsidR="00861F3E" w:rsidRPr="00DB40D4" w:rsidRDefault="00861F3E" w:rsidP="00776493">
            <w:pPr>
              <w:pStyle w:val="Textoindependiente"/>
              <w:ind w:left="0" w:right="217"/>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Artículo 19.- La Institución que administre una Cuenta de Depósito a la vista deberá permitir </w:t>
            </w:r>
            <w:r w:rsidRPr="00DB40D4">
              <w:rPr>
                <w:rFonts w:eastAsia="Times New Roman" w:cstheme="minorHAnsi"/>
                <w:color w:val="000000" w:themeColor="text1"/>
                <w:sz w:val="20"/>
                <w:szCs w:val="20"/>
                <w:u w:val="single"/>
                <w:lang w:val="es-419" w:eastAsia="pt-BR"/>
              </w:rPr>
              <w:t>al Tarjetahabiente</w:t>
            </w:r>
            <w:r w:rsidRPr="00DB40D4">
              <w:rPr>
                <w:rFonts w:eastAsia="Times New Roman" w:cstheme="minorHAnsi"/>
                <w:color w:val="000000" w:themeColor="text1"/>
                <w:sz w:val="20"/>
                <w:szCs w:val="20"/>
                <w:lang w:val="es-419" w:eastAsia="pt-BR"/>
              </w:rPr>
              <w:t xml:space="preserve"> respectivo utilizar la tarjeta de débito correspondiente para:</w:t>
            </w:r>
          </w:p>
        </w:tc>
        <w:tc>
          <w:tcPr>
            <w:tcW w:w="4248" w:type="dxa"/>
            <w:tcBorders>
              <w:top w:val="nil"/>
              <w:left w:val="nil"/>
              <w:bottom w:val="single" w:sz="4" w:space="0" w:color="auto"/>
              <w:right w:val="single" w:sz="4" w:space="0" w:color="auto"/>
            </w:tcBorders>
          </w:tcPr>
          <w:p w:rsidR="00861F3E" w:rsidRDefault="00861F3E" w:rsidP="00776493">
            <w:pPr>
              <w:pStyle w:val="Textoindependiente"/>
              <w:ind w:left="0" w:right="217"/>
              <w:jc w:val="both"/>
              <w:rPr>
                <w:rFonts w:eastAsia="Times New Roman" w:cstheme="minorHAnsi"/>
                <w:color w:val="000000"/>
                <w:sz w:val="20"/>
                <w:szCs w:val="20"/>
                <w:lang w:val="es-419" w:eastAsia="pt-BR"/>
              </w:rPr>
            </w:pPr>
          </w:p>
        </w:tc>
      </w:tr>
      <w:tr w:rsidR="00861F3E" w:rsidRPr="00F03C43" w:rsidTr="00861F3E">
        <w:trPr>
          <w:trHeight w:val="145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lang w:val="es-419" w:eastAsia="pt-BR"/>
              </w:rPr>
              <w:t xml:space="preserve">I. Retirar cantidades en efectivo en: </w:t>
            </w:r>
            <w:r w:rsidRPr="00DB40D4">
              <w:rPr>
                <w:rFonts w:eastAsia="Times New Roman" w:cstheme="minorHAnsi"/>
                <w:color w:val="000000" w:themeColor="text1"/>
                <w:sz w:val="20"/>
                <w:szCs w:val="20"/>
                <w:u w:val="single"/>
                <w:lang w:val="es-419" w:eastAsia="pt-BR"/>
              </w:rPr>
              <w:t>a)</w:t>
            </w:r>
            <w:r w:rsidRPr="00DB40D4">
              <w:rPr>
                <w:rFonts w:eastAsia="Times New Roman" w:cstheme="minorHAnsi"/>
                <w:color w:val="000000" w:themeColor="text1"/>
                <w:sz w:val="20"/>
                <w:szCs w:val="20"/>
                <w:lang w:val="es-419" w:eastAsia="pt-BR"/>
              </w:rPr>
              <w:t xml:space="preserve"> las sucursales de la Institución, </w:t>
            </w:r>
            <w:r w:rsidRPr="00DB40D4">
              <w:rPr>
                <w:rFonts w:eastAsia="Times New Roman" w:cstheme="minorHAnsi"/>
                <w:color w:val="000000" w:themeColor="text1"/>
                <w:sz w:val="20"/>
                <w:szCs w:val="20"/>
                <w:u w:val="single"/>
                <w:lang w:val="es-419" w:eastAsia="pt-BR"/>
              </w:rPr>
              <w:t>b)</w:t>
            </w:r>
            <w:r w:rsidRPr="00DB40D4">
              <w:rPr>
                <w:rFonts w:eastAsia="Times New Roman" w:cstheme="minorHAnsi"/>
                <w:color w:val="000000" w:themeColor="text1"/>
                <w:sz w:val="20"/>
                <w:szCs w:val="20"/>
                <w:lang w:val="es-419" w:eastAsia="pt-BR"/>
              </w:rPr>
              <w:t xml:space="preserve"> cajeros automáticos que, en su caso, esta habilite para ello, </w:t>
            </w:r>
            <w:r w:rsidRPr="00DB40D4">
              <w:rPr>
                <w:rFonts w:eastAsia="Times New Roman" w:cstheme="minorHAnsi"/>
                <w:color w:val="000000" w:themeColor="text1"/>
                <w:sz w:val="20"/>
                <w:szCs w:val="20"/>
                <w:u w:val="single"/>
                <w:lang w:val="es-419" w:eastAsia="pt-BR"/>
              </w:rPr>
              <w:t>c)</w:t>
            </w:r>
            <w:r w:rsidRPr="00DB40D4">
              <w:rPr>
                <w:rFonts w:eastAsia="Times New Roman" w:cstheme="minorHAnsi"/>
                <w:color w:val="000000" w:themeColor="text1"/>
                <w:sz w:val="20"/>
                <w:szCs w:val="20"/>
                <w:lang w:val="es-419" w:eastAsia="pt-BR"/>
              </w:rPr>
              <w:t xml:space="preserve"> comisionistas bancarios </w:t>
            </w:r>
            <w:r w:rsidRPr="00DB40D4">
              <w:rPr>
                <w:rFonts w:eastAsia="Times New Roman" w:cstheme="minorHAnsi"/>
                <w:color w:val="000000" w:themeColor="text1"/>
                <w:sz w:val="20"/>
                <w:szCs w:val="20"/>
                <w:u w:val="single"/>
                <w:lang w:val="es-419" w:eastAsia="pt-BR"/>
              </w:rPr>
              <w:t>disponibles conforme a los convenios celebrados al efecto con la propia Institución</w:t>
            </w:r>
            <w:r w:rsidRPr="00DB40D4">
              <w:rPr>
                <w:rFonts w:eastAsia="Times New Roman" w:cstheme="minorHAnsi"/>
                <w:color w:val="000000" w:themeColor="text1"/>
                <w:sz w:val="20"/>
                <w:szCs w:val="20"/>
                <w:lang w:val="es-419" w:eastAsia="pt-BR"/>
              </w:rPr>
              <w:t xml:space="preserve"> o </w:t>
            </w:r>
            <w:r w:rsidRPr="00DB40D4">
              <w:rPr>
                <w:rFonts w:eastAsia="Times New Roman" w:cstheme="minorHAnsi"/>
                <w:color w:val="000000" w:themeColor="text1"/>
                <w:sz w:val="20"/>
                <w:szCs w:val="20"/>
                <w:u w:val="single"/>
                <w:lang w:val="es-419" w:eastAsia="pt-BR"/>
              </w:rPr>
              <w:t>d)</w:t>
            </w:r>
            <w:r w:rsidRPr="00DB40D4">
              <w:rPr>
                <w:rFonts w:eastAsia="Times New Roman" w:cstheme="minorHAnsi"/>
                <w:color w:val="000000" w:themeColor="text1"/>
                <w:sz w:val="20"/>
                <w:szCs w:val="20"/>
                <w:lang w:val="es-419" w:eastAsia="pt-BR"/>
              </w:rPr>
              <w:t xml:space="preserve"> establecimientos </w:t>
            </w:r>
            <w:r w:rsidRPr="00DB40D4">
              <w:rPr>
                <w:rFonts w:eastAsia="Times New Roman" w:cstheme="minorHAnsi"/>
                <w:color w:val="000000" w:themeColor="text1"/>
                <w:sz w:val="20"/>
                <w:szCs w:val="20"/>
                <w:u w:val="single"/>
                <w:lang w:val="es-419" w:eastAsia="pt-BR"/>
              </w:rPr>
              <w:t>de receptores de pagos con tarjetas que proporcionen dicho servicio, afiliados a las redes respectivas por medio de las Instituciones o demás entidades participantes en dichas redes que les presten el servicio de recepción y tramitación de pagos con tarjetas, y</w:t>
            </w: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single" w:sz="4" w:space="0" w:color="auto"/>
              <w:left w:val="single" w:sz="4" w:space="0" w:color="auto"/>
              <w:bottom w:val="single" w:sz="4" w:space="0" w:color="auto"/>
              <w:right w:val="single" w:sz="4" w:space="0" w:color="auto"/>
            </w:tcBorders>
          </w:tcPr>
          <w:p w:rsidR="00861F3E" w:rsidRPr="009F5D51" w:rsidRDefault="00861F3E" w:rsidP="00776493">
            <w:pPr>
              <w:spacing w:after="0" w:line="240" w:lineRule="auto"/>
              <w:jc w:val="both"/>
              <w:rPr>
                <w:rFonts w:eastAsia="Times New Roman" w:cstheme="minorHAnsi"/>
                <w:sz w:val="20"/>
                <w:szCs w:val="20"/>
                <w:lang w:val="es-419" w:eastAsia="pt-BR"/>
              </w:rPr>
            </w:pPr>
          </w:p>
        </w:tc>
      </w:tr>
      <w:tr w:rsidR="00861F3E" w:rsidRPr="00F03C43" w:rsidTr="00861F3E">
        <w:trPr>
          <w:trHeight w:val="6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lastRenderedPageBreak/>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II. Realizar pagos de cualquier tipo, como pueden ser para adquisiciones de bienes o servicios, amortizaciones de créditos o pagos de impuestos, entre otros.</w:t>
            </w:r>
          </w:p>
        </w:tc>
        <w:tc>
          <w:tcPr>
            <w:tcW w:w="4248" w:type="dxa"/>
            <w:tcBorders>
              <w:top w:val="single" w:sz="4" w:space="0" w:color="auto"/>
              <w:left w:val="nil"/>
              <w:bottom w:val="single" w:sz="4" w:space="0" w:color="auto"/>
              <w:right w:val="single" w:sz="4" w:space="0" w:color="auto"/>
            </w:tcBorders>
          </w:tcPr>
          <w:p w:rsidR="00861F3E" w:rsidRPr="009F5D51"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799"/>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9F5D51">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Las operaciones a que se refieren las fracciones anteriores deberán realizarse a través de: i) una cámara de compensación para operaciones con tarjetas con quien la Institución haya celebrado un contrato al efecto, o ii) la propia infraestructura de la Institución, tratándose de aquellas operaciones en que la Institución emisora de la tarjeta de débito pertenezca al mismo grupo financiero o consorcio de la Institución </w:t>
            </w:r>
            <w:r w:rsidRPr="00DB40D4">
              <w:rPr>
                <w:rFonts w:eastAsia="Times New Roman" w:cstheme="minorHAnsi"/>
                <w:color w:val="000000" w:themeColor="text1"/>
                <w:sz w:val="20"/>
                <w:szCs w:val="20"/>
                <w:u w:val="single"/>
                <w:lang w:val="es-419" w:eastAsia="pt-BR"/>
              </w:rPr>
              <w:t>o entidad que preste servicios de aceptación de tarjetas al receptor de pagos realizados con dicha tarjeta.</w:t>
            </w:r>
            <w:r w:rsidRPr="00DB40D4">
              <w:rPr>
                <w:color w:val="000000" w:themeColor="text1"/>
              </w:rPr>
              <w:t xml:space="preserve"> </w:t>
            </w:r>
          </w:p>
          <w:p w:rsidR="00861F3E" w:rsidRPr="00DB40D4" w:rsidRDefault="00861F3E" w:rsidP="00776493">
            <w:pPr>
              <w:spacing w:after="0" w:line="240" w:lineRule="auto"/>
              <w:jc w:val="both"/>
              <w:rPr>
                <w:rFonts w:eastAsia="Times New Roman" w:cstheme="minorHAnsi"/>
                <w:color w:val="000000" w:themeColor="text1"/>
                <w:sz w:val="20"/>
                <w:szCs w:val="20"/>
                <w:lang w:eastAsia="pt-BR"/>
              </w:rPr>
            </w:pPr>
          </w:p>
        </w:tc>
        <w:tc>
          <w:tcPr>
            <w:tcW w:w="4248" w:type="dxa"/>
            <w:tcBorders>
              <w:top w:val="nil"/>
              <w:left w:val="nil"/>
              <w:bottom w:val="single" w:sz="4" w:space="0" w:color="auto"/>
              <w:right w:val="single" w:sz="4" w:space="0" w:color="auto"/>
            </w:tcBorders>
          </w:tcPr>
          <w:p w:rsidR="00861F3E" w:rsidRPr="009F5D51" w:rsidRDefault="00861F3E" w:rsidP="009F5D51">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29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strike/>
                <w:color w:val="000000" w:themeColor="text1"/>
                <w:sz w:val="20"/>
                <w:szCs w:val="20"/>
                <w:lang w:val="es-419" w:eastAsia="pt-BR"/>
              </w:rPr>
              <w:t>En los contratos que las Instituciones suscriban con terceros para el procesamiento de pagos con tarjeta deberán permitirles la opción de aceptar como medio de pago de los bienes y servicios que ofrezcan:</w:t>
            </w:r>
            <w:r w:rsidRPr="00DB40D4">
              <w:rPr>
                <w:rFonts w:eastAsia="Times New Roman" w:cstheme="minorHAnsi"/>
                <w:color w:val="000000" w:themeColor="text1"/>
                <w:sz w:val="20"/>
                <w:szCs w:val="20"/>
                <w:u w:val="single"/>
                <w:lang w:val="es-419" w:eastAsia="pt-BR"/>
              </w:rPr>
              <w:t xml:space="preserve">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Para efectos de lo señalado en el párrafo anterior, se entenderá por consorcio lo indicado en el artículo 22 Bis, fracción I, de la Ley de Instituciones de Crédito.</w:t>
            </w:r>
          </w:p>
        </w:tc>
        <w:tc>
          <w:tcPr>
            <w:tcW w:w="4248" w:type="dxa"/>
            <w:tcBorders>
              <w:top w:val="single" w:sz="4" w:space="0" w:color="auto"/>
              <w:left w:val="single" w:sz="4" w:space="0" w:color="auto"/>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2665"/>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strike/>
                <w:color w:val="000000" w:themeColor="text1"/>
                <w:sz w:val="20"/>
                <w:szCs w:val="20"/>
                <w:lang w:val="es-419" w:eastAsia="pt-BR"/>
              </w:rPr>
              <w:t>I. Solo tarjetas de débito;</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u w:val="single"/>
                <w:lang w:val="es-419" w:eastAsia="pt-BR"/>
              </w:rPr>
              <w:t>Las Instituciones deberán entregar a los cuentahabientes todas las tarjetas de débito desactivadas y, para su activación,</w:t>
            </w:r>
            <w:r w:rsidRPr="00DB40D4">
              <w:rPr>
                <w:rFonts w:eastAsia="Times New Roman" w:cstheme="minorHAnsi"/>
                <w:color w:val="000000" w:themeColor="text1"/>
                <w:sz w:val="20"/>
                <w:szCs w:val="20"/>
                <w:lang w:val="es-419" w:eastAsia="pt-BR"/>
              </w:rPr>
              <w:t xml:space="preserve"> estos últimos deberán solicitarlo expresamente a través de los mecanismos que las Instituciones dispongan para ello, ya sea en alguna de sus sucursales o a través de un comisionista, mediante el cotejo de la firma autógrafa del propio cuentahabiente con respecto a alguna identificación de las indicadas en las Disposiciones de carácter general a que se refiere el artículo 115 de la Ley de Instituciones de Crédito o mediante los esquemas de autenticación presencial utilizados por la Institución </w:t>
            </w:r>
            <w:r w:rsidRPr="00DB40D4">
              <w:rPr>
                <w:rFonts w:eastAsia="Times New Roman" w:cstheme="minorHAnsi"/>
                <w:color w:val="000000" w:themeColor="text1"/>
                <w:sz w:val="20"/>
                <w:szCs w:val="20"/>
                <w:u w:val="single"/>
                <w:lang w:val="es-419" w:eastAsia="pt-BR"/>
              </w:rPr>
              <w:t>de que se trate</w:t>
            </w:r>
            <w:r w:rsidRPr="00DB40D4">
              <w:rPr>
                <w:rFonts w:eastAsia="Times New Roman" w:cstheme="minorHAnsi"/>
                <w:color w:val="000000" w:themeColor="text1"/>
                <w:sz w:val="20"/>
                <w:szCs w:val="20"/>
                <w:lang w:val="es-419" w:eastAsia="pt-BR"/>
              </w:rPr>
              <w:t xml:space="preserve">, como pueden ser elementos biométricos, mediante el uso de cajeros automáticos, terminales punto de venta, vía telefónica, esquemas de autenticación remota utilizados por la propia Institución, o bien, </w:t>
            </w:r>
            <w:r w:rsidRPr="00DB40D4">
              <w:rPr>
                <w:rFonts w:eastAsia="Times New Roman" w:cstheme="minorHAnsi"/>
                <w:color w:val="000000" w:themeColor="text1"/>
                <w:sz w:val="20"/>
                <w:szCs w:val="20"/>
                <w:u w:val="single"/>
                <w:lang w:val="es-419" w:eastAsia="pt-BR"/>
              </w:rPr>
              <w:t>a través de otros canales electrónicos seguros.</w:t>
            </w:r>
          </w:p>
        </w:tc>
        <w:tc>
          <w:tcPr>
            <w:tcW w:w="4248" w:type="dxa"/>
            <w:tcBorders>
              <w:top w:val="single" w:sz="4" w:space="0" w:color="auto"/>
              <w:left w:val="single" w:sz="4" w:space="0" w:color="auto"/>
              <w:bottom w:val="single" w:sz="4" w:space="0" w:color="auto"/>
              <w:right w:val="single" w:sz="4" w:space="0" w:color="auto"/>
            </w:tcBorders>
          </w:tcPr>
          <w:p w:rsidR="00861F3E" w:rsidRPr="009F5D51" w:rsidRDefault="00861F3E" w:rsidP="00776493">
            <w:pPr>
              <w:spacing w:after="0" w:line="240" w:lineRule="auto"/>
              <w:jc w:val="both"/>
              <w:rPr>
                <w:rFonts w:eastAsia="Times New Roman" w:cstheme="minorHAnsi"/>
                <w:color w:val="00B050"/>
                <w:sz w:val="20"/>
                <w:szCs w:val="20"/>
                <w:u w:val="single"/>
                <w:lang w:val="es-419" w:eastAsia="pt-BR"/>
              </w:rPr>
            </w:pPr>
          </w:p>
        </w:tc>
      </w:tr>
      <w:tr w:rsidR="00861F3E" w:rsidRPr="00F03C43" w:rsidTr="00861F3E">
        <w:trPr>
          <w:trHeight w:val="3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strike/>
                <w:color w:val="000000" w:themeColor="text1"/>
                <w:sz w:val="20"/>
                <w:szCs w:val="20"/>
                <w:lang w:val="es-419" w:eastAsia="pt-BR"/>
              </w:rPr>
              <w:t>II. Solo tarjetas de crédito, o</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9F5D51">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w:t>
            </w:r>
          </w:p>
        </w:tc>
        <w:tc>
          <w:tcPr>
            <w:tcW w:w="4248" w:type="dxa"/>
            <w:tcBorders>
              <w:top w:val="single" w:sz="4" w:space="0" w:color="auto"/>
              <w:left w:val="single" w:sz="4" w:space="0" w:color="auto"/>
              <w:bottom w:val="single" w:sz="4" w:space="0" w:color="auto"/>
              <w:right w:val="single" w:sz="4" w:space="0" w:color="auto"/>
            </w:tcBorders>
          </w:tcPr>
          <w:p w:rsidR="00861F3E" w:rsidRDefault="00861F3E" w:rsidP="009F5D51">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3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strike/>
                <w:color w:val="000000" w:themeColor="text1"/>
                <w:sz w:val="20"/>
                <w:szCs w:val="20"/>
                <w:lang w:val="es-419" w:eastAsia="pt-BR"/>
              </w:rPr>
              <w:t>III. Tarjetas de débito y tarjetas de crédito.</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w:t>
            </w:r>
          </w:p>
        </w:tc>
        <w:tc>
          <w:tcPr>
            <w:tcW w:w="4248" w:type="dxa"/>
            <w:tcBorders>
              <w:top w:val="single" w:sz="4" w:space="0" w:color="auto"/>
              <w:left w:val="single" w:sz="4" w:space="0" w:color="auto"/>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3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single" w:sz="4" w:space="0" w:color="auto"/>
              <w:left w:val="single" w:sz="4" w:space="0" w:color="auto"/>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9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b/>
                <w:color w:val="000000" w:themeColor="text1"/>
                <w:sz w:val="20"/>
                <w:szCs w:val="20"/>
                <w:lang w:val="es-419" w:eastAsia="pt-BR"/>
              </w:rPr>
              <w:t>Artículo 19 Bis.-</w:t>
            </w:r>
            <w:r w:rsidRPr="00DB40D4">
              <w:rPr>
                <w:rFonts w:eastAsia="Times New Roman" w:cstheme="minorHAnsi"/>
                <w:color w:val="000000" w:themeColor="text1"/>
                <w:sz w:val="20"/>
                <w:szCs w:val="20"/>
                <w:lang w:val="es-419" w:eastAsia="pt-BR"/>
              </w:rPr>
              <w:t xml:space="preserve"> La Institución que administre una Cuenta de Depósito a la vista deberá efectuar </w:t>
            </w:r>
            <w:r w:rsidRPr="00DB40D4">
              <w:rPr>
                <w:rFonts w:eastAsia="Times New Roman" w:cstheme="minorHAnsi"/>
                <w:color w:val="000000" w:themeColor="text1"/>
                <w:sz w:val="20"/>
                <w:szCs w:val="20"/>
                <w:u w:val="single"/>
                <w:lang w:val="es-419" w:eastAsia="pt-BR"/>
              </w:rPr>
              <w:t>en esta</w:t>
            </w:r>
            <w:r w:rsidRPr="00DB40D4">
              <w:rPr>
                <w:rFonts w:eastAsia="Times New Roman" w:cstheme="minorHAnsi"/>
                <w:color w:val="000000" w:themeColor="text1"/>
                <w:sz w:val="20"/>
                <w:szCs w:val="20"/>
                <w:lang w:val="es-419" w:eastAsia="pt-BR"/>
              </w:rPr>
              <w:t xml:space="preserve"> los cargos que correspondan a las instrucciones generadas mediante la utilización de la tarjeta de débito respectiva, conforme a lo siguiente:</w:t>
            </w:r>
          </w:p>
        </w:tc>
        <w:tc>
          <w:tcPr>
            <w:tcW w:w="4248" w:type="dxa"/>
            <w:tcBorders>
              <w:top w:val="single" w:sz="4" w:space="0" w:color="auto"/>
              <w:left w:val="single" w:sz="4" w:space="0" w:color="auto"/>
              <w:bottom w:val="single" w:sz="4" w:space="0" w:color="auto"/>
              <w:right w:val="single" w:sz="4" w:space="0" w:color="auto"/>
            </w:tcBorders>
          </w:tcPr>
          <w:p w:rsidR="00861F3E" w:rsidRPr="006F4DE9" w:rsidRDefault="00861F3E" w:rsidP="00776493">
            <w:pPr>
              <w:spacing w:after="0" w:line="240" w:lineRule="auto"/>
              <w:jc w:val="both"/>
              <w:rPr>
                <w:rFonts w:eastAsia="Times New Roman" w:cstheme="minorHAnsi"/>
                <w:b/>
                <w:color w:val="000000"/>
                <w:sz w:val="20"/>
                <w:szCs w:val="20"/>
                <w:lang w:val="es-419" w:eastAsia="pt-BR"/>
              </w:rPr>
            </w:pPr>
          </w:p>
        </w:tc>
      </w:tr>
      <w:tr w:rsidR="00861F3E" w:rsidRPr="00F03C43" w:rsidTr="00861F3E">
        <w:trPr>
          <w:trHeight w:val="9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I. Por operaciones en las que, para su realización, requieran al </w:t>
            </w:r>
            <w:r w:rsidRPr="00DB40D4">
              <w:rPr>
                <w:rFonts w:eastAsia="Times New Roman" w:cstheme="minorHAnsi"/>
                <w:color w:val="000000" w:themeColor="text1"/>
                <w:sz w:val="20"/>
                <w:szCs w:val="20"/>
                <w:u w:val="single"/>
                <w:lang w:val="es-419" w:eastAsia="pt-BR"/>
              </w:rPr>
              <w:t>Tarjetahabiente</w:t>
            </w:r>
            <w:r w:rsidRPr="00DB40D4">
              <w:rPr>
                <w:rFonts w:eastAsia="Times New Roman" w:cstheme="minorHAnsi"/>
                <w:color w:val="000000" w:themeColor="text1"/>
                <w:sz w:val="20"/>
                <w:szCs w:val="20"/>
                <w:lang w:val="es-419" w:eastAsia="pt-BR"/>
              </w:rPr>
              <w:t xml:space="preserve"> que utilice, al menos, dos </w:t>
            </w:r>
            <w:r w:rsidRPr="00DB40D4">
              <w:rPr>
                <w:rFonts w:eastAsia="Times New Roman" w:cstheme="minorHAnsi"/>
                <w:color w:val="000000" w:themeColor="text1"/>
                <w:sz w:val="20"/>
                <w:szCs w:val="20"/>
                <w:u w:val="single"/>
                <w:lang w:val="es-419" w:eastAsia="pt-BR"/>
              </w:rPr>
              <w:t>factores</w:t>
            </w:r>
            <w:r w:rsidRPr="00DB40D4">
              <w:rPr>
                <w:rFonts w:eastAsia="Times New Roman" w:cstheme="minorHAnsi"/>
                <w:color w:val="000000" w:themeColor="text1"/>
                <w:sz w:val="20"/>
                <w:szCs w:val="20"/>
                <w:lang w:val="es-419" w:eastAsia="pt-BR"/>
              </w:rPr>
              <w:t xml:space="preserve"> independientes para autenticar las operaciones como autorizadas por </w:t>
            </w:r>
            <w:r w:rsidRPr="00DB40D4">
              <w:rPr>
                <w:rFonts w:eastAsia="Times New Roman" w:cstheme="minorHAnsi"/>
                <w:color w:val="000000" w:themeColor="text1"/>
                <w:sz w:val="20"/>
                <w:szCs w:val="20"/>
                <w:u w:val="single"/>
                <w:lang w:val="es-419" w:eastAsia="pt-BR"/>
              </w:rPr>
              <w:t>este último</w:t>
            </w:r>
            <w:r w:rsidRPr="00DB40D4">
              <w:rPr>
                <w:rFonts w:eastAsia="Times New Roman" w:cstheme="minorHAnsi"/>
                <w:color w:val="000000" w:themeColor="text1"/>
                <w:sz w:val="20"/>
                <w:szCs w:val="20"/>
                <w:lang w:val="es-419" w:eastAsia="pt-BR"/>
              </w:rPr>
              <w:t>, de entre los indicados a continuación:</w:t>
            </w:r>
          </w:p>
        </w:tc>
        <w:tc>
          <w:tcPr>
            <w:tcW w:w="4248" w:type="dxa"/>
            <w:tcBorders>
              <w:top w:val="single" w:sz="4" w:space="0" w:color="auto"/>
              <w:left w:val="nil"/>
              <w:bottom w:val="single" w:sz="4" w:space="0" w:color="auto"/>
              <w:right w:val="single" w:sz="4" w:space="0" w:color="auto"/>
            </w:tcBorders>
          </w:tcPr>
          <w:p w:rsidR="00861F3E" w:rsidRPr="006F4DE9" w:rsidRDefault="00861F3E" w:rsidP="00776493">
            <w:pPr>
              <w:spacing w:after="0" w:line="240" w:lineRule="auto"/>
              <w:jc w:val="both"/>
              <w:rPr>
                <w:rFonts w:eastAsia="Times New Roman" w:cstheme="minorHAnsi"/>
                <w:color w:val="000000" w:themeColor="text1"/>
                <w:sz w:val="20"/>
                <w:szCs w:val="20"/>
                <w:lang w:val="es-419" w:eastAsia="pt-BR"/>
              </w:rPr>
            </w:pPr>
          </w:p>
        </w:tc>
      </w:tr>
      <w:tr w:rsidR="00861F3E" w:rsidRPr="00F03C43" w:rsidTr="00861F3E">
        <w:trPr>
          <w:trHeight w:val="1894"/>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pBdr>
                <w:top w:val="nil"/>
                <w:left w:val="nil"/>
                <w:bottom w:val="nil"/>
                <w:right w:val="nil"/>
                <w:between w:val="nil"/>
              </w:pBd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a) Información que la Institución proporciona al </w:t>
            </w:r>
            <w:r w:rsidRPr="00DB40D4">
              <w:rPr>
                <w:rFonts w:eastAsia="Times New Roman" w:cstheme="minorHAnsi"/>
                <w:color w:val="000000" w:themeColor="text1"/>
                <w:sz w:val="20"/>
                <w:szCs w:val="20"/>
                <w:u w:val="single"/>
                <w:lang w:val="es-419" w:eastAsia="pt-BR"/>
              </w:rPr>
              <w:t>Tarjetahabiente</w:t>
            </w:r>
            <w:r w:rsidRPr="00DB40D4">
              <w:rPr>
                <w:rFonts w:eastAsia="Times New Roman" w:cstheme="minorHAnsi"/>
                <w:color w:val="000000" w:themeColor="text1"/>
                <w:sz w:val="20"/>
                <w:szCs w:val="20"/>
                <w:lang w:val="es-419" w:eastAsia="pt-BR"/>
              </w:rPr>
              <w:t xml:space="preserve"> o permite a este generar, bajo el entendido de que solamente él la conozca, para que la pueda ingresar al sistema autorizado por la Institución para iniciar la operación de que se trate, tales como contraseña o número de identificación personal.</w:t>
            </w:r>
          </w:p>
        </w:tc>
        <w:tc>
          <w:tcPr>
            <w:tcW w:w="4248" w:type="dxa"/>
            <w:tcBorders>
              <w:top w:val="nil"/>
              <w:left w:val="nil"/>
              <w:bottom w:val="single" w:sz="4" w:space="0" w:color="auto"/>
              <w:right w:val="single" w:sz="4" w:space="0" w:color="auto"/>
            </w:tcBorders>
          </w:tcPr>
          <w:p w:rsidR="00861F3E" w:rsidRPr="00792575" w:rsidRDefault="00861F3E" w:rsidP="00776493">
            <w:pPr>
              <w:pBdr>
                <w:top w:val="nil"/>
                <w:left w:val="nil"/>
                <w:bottom w:val="nil"/>
                <w:right w:val="nil"/>
                <w:between w:val="nil"/>
              </w:pBdr>
              <w:spacing w:after="0" w:line="240" w:lineRule="auto"/>
              <w:jc w:val="both"/>
              <w:rPr>
                <w:rFonts w:eastAsia="Times New Roman" w:cstheme="minorHAnsi"/>
                <w:color w:val="000000"/>
                <w:sz w:val="20"/>
                <w:szCs w:val="20"/>
                <w:lang w:val="es-419" w:eastAsia="pt-BR"/>
              </w:rPr>
            </w:pPr>
          </w:p>
        </w:tc>
      </w:tr>
      <w:tr w:rsidR="00861F3E" w:rsidRPr="00F03C43" w:rsidTr="00861F3E">
        <w:trPr>
          <w:trHeight w:val="2556"/>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92575">
            <w:pPr>
              <w:pStyle w:val="Textoindependiente"/>
              <w:ind w:left="0" w:right="217"/>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b) Información contenida, recibida o generada por medios o dispositivos electrónicos que solo posee el </w:t>
            </w:r>
            <w:r w:rsidRPr="00DB40D4">
              <w:rPr>
                <w:rFonts w:eastAsia="Times New Roman" w:cstheme="minorHAnsi"/>
                <w:color w:val="000000" w:themeColor="text1"/>
                <w:sz w:val="20"/>
                <w:szCs w:val="20"/>
                <w:u w:val="single"/>
                <w:lang w:val="es-419" w:eastAsia="pt-BR"/>
              </w:rPr>
              <w:t>Tarjetahabiente</w:t>
            </w:r>
            <w:r w:rsidRPr="00DB40D4">
              <w:rPr>
                <w:rFonts w:eastAsia="Times New Roman" w:cstheme="minorHAnsi"/>
                <w:color w:val="000000" w:themeColor="text1"/>
                <w:sz w:val="20"/>
                <w:szCs w:val="20"/>
                <w:lang w:val="es-419" w:eastAsia="pt-BR"/>
              </w:rPr>
              <w:t xml:space="preserve">, incluida la almacenada en un circuito integrado o chip que sea procesada conforme a los estándares de seguridad y procesamiento establecidos por la empresa constituida conforme a la legislación de los Estados Unidos de América, denominada EMVCo, LLC o, en su caso, aquellos otros que el Banco de México determine </w:t>
            </w:r>
            <w:r w:rsidRPr="00DB40D4">
              <w:rPr>
                <w:rFonts w:eastAsia="Times New Roman" w:cstheme="minorHAnsi"/>
                <w:color w:val="000000" w:themeColor="text1"/>
                <w:sz w:val="20"/>
                <w:szCs w:val="20"/>
                <w:u w:val="single"/>
                <w:lang w:val="es-419" w:eastAsia="pt-BR"/>
              </w:rPr>
              <w:t>que correspondan a la utilización y funcionamiento del referido circuito integrado o chip con el mismo grado de seguridad,</w:t>
            </w:r>
            <w:r w:rsidRPr="00DB40D4">
              <w:rPr>
                <w:rFonts w:eastAsia="Times New Roman" w:cstheme="minorHAnsi"/>
                <w:color w:val="000000" w:themeColor="text1"/>
                <w:sz w:val="20"/>
                <w:szCs w:val="20"/>
                <w:lang w:val="es-419" w:eastAsia="pt-BR"/>
              </w:rPr>
              <w:t xml:space="preserve"> así como la obtenida por dispositivos generadores de contraseñas dinámicas que la Institución proporcione al </w:t>
            </w:r>
            <w:r w:rsidRPr="00DB40D4">
              <w:rPr>
                <w:rFonts w:eastAsia="Times New Roman" w:cstheme="minorHAnsi"/>
                <w:color w:val="000000" w:themeColor="text1"/>
                <w:sz w:val="20"/>
                <w:szCs w:val="20"/>
                <w:u w:val="single"/>
                <w:lang w:val="es-419" w:eastAsia="pt-BR"/>
              </w:rPr>
              <w:t>Tarjetahabiente.</w:t>
            </w:r>
            <w:r w:rsidRPr="00DB40D4">
              <w:rPr>
                <w:rFonts w:eastAsia="Times New Roman" w:cstheme="minorHAnsi"/>
                <w:color w:val="000000" w:themeColor="text1"/>
                <w:sz w:val="20"/>
                <w:szCs w:val="20"/>
                <w:lang w:val="es-419" w:eastAsia="pt-BR"/>
              </w:rPr>
              <w:t xml:space="preserve"> </w:t>
            </w:r>
            <w:r w:rsidRPr="00DB40D4">
              <w:rPr>
                <w:rFonts w:eastAsia="Times New Roman" w:cstheme="minorHAnsi"/>
                <w:color w:val="000000" w:themeColor="text1"/>
                <w:sz w:val="20"/>
                <w:szCs w:val="20"/>
                <w:u w:val="single"/>
                <w:lang w:val="es-419" w:eastAsia="pt-BR"/>
              </w:rPr>
              <w:t>Lo anteriormente indicado quedará sujeto a que</w:t>
            </w:r>
            <w:r w:rsidRPr="00DB40D4">
              <w:rPr>
                <w:rFonts w:eastAsia="Times New Roman" w:cstheme="minorHAnsi"/>
                <w:color w:val="000000" w:themeColor="text1"/>
                <w:sz w:val="20"/>
                <w:szCs w:val="20"/>
                <w:lang w:val="es-419" w:eastAsia="pt-BR"/>
              </w:rPr>
              <w:t xml:space="preserve"> dicha información sea generada con propiedades que impidan su duplicación o alteración y cumpla con alguna de las características siguientes:</w:t>
            </w:r>
          </w:p>
          <w:p w:rsidR="00861F3E" w:rsidRPr="00DB40D4" w:rsidRDefault="00861F3E" w:rsidP="00776493">
            <w:pPr>
              <w:pStyle w:val="Textoindependiente"/>
              <w:ind w:left="0" w:right="217"/>
              <w:jc w:val="both"/>
              <w:rPr>
                <w:rFonts w:eastAsia="Times New Roman" w:cstheme="minorHAnsi"/>
                <w:color w:val="000000" w:themeColor="text1"/>
                <w:sz w:val="20"/>
                <w:szCs w:val="20"/>
                <w:lang w:val="es-419" w:eastAsia="pt-BR"/>
              </w:rPr>
            </w:pPr>
          </w:p>
        </w:tc>
        <w:tc>
          <w:tcPr>
            <w:tcW w:w="4248" w:type="dxa"/>
            <w:tcBorders>
              <w:top w:val="single" w:sz="4" w:space="0" w:color="auto"/>
              <w:left w:val="single" w:sz="4" w:space="0" w:color="auto"/>
              <w:bottom w:val="single" w:sz="4" w:space="0" w:color="auto"/>
              <w:right w:val="single" w:sz="4" w:space="0" w:color="auto"/>
            </w:tcBorders>
          </w:tcPr>
          <w:p w:rsidR="00861F3E" w:rsidRPr="00792575" w:rsidRDefault="00861F3E" w:rsidP="00792575">
            <w:pPr>
              <w:pStyle w:val="Textoindependiente"/>
              <w:ind w:left="0" w:right="217"/>
              <w:jc w:val="both"/>
              <w:rPr>
                <w:rFonts w:eastAsia="Times New Roman" w:cstheme="minorHAnsi"/>
                <w:sz w:val="20"/>
                <w:szCs w:val="20"/>
                <w:lang w:val="es-419" w:eastAsia="pt-BR"/>
              </w:rPr>
            </w:pPr>
          </w:p>
        </w:tc>
      </w:tr>
      <w:tr w:rsidR="00861F3E" w:rsidRPr="00F03C43" w:rsidTr="00861F3E">
        <w:trPr>
          <w:trHeight w:val="1003"/>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 Sea información dinámica que no pueda ser utilizada en más de una ocasión, o</w:t>
            </w:r>
          </w:p>
        </w:tc>
        <w:tc>
          <w:tcPr>
            <w:tcW w:w="4248" w:type="dxa"/>
            <w:tcBorders>
              <w:top w:val="single" w:sz="4" w:space="0" w:color="auto"/>
              <w:left w:val="nil"/>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444"/>
        </w:trPr>
        <w:tc>
          <w:tcPr>
            <w:tcW w:w="4106" w:type="dxa"/>
            <w:tcBorders>
              <w:top w:val="nil"/>
              <w:left w:val="single" w:sz="4" w:space="0" w:color="auto"/>
              <w:bottom w:val="single" w:sz="4" w:space="0" w:color="auto"/>
              <w:right w:val="single" w:sz="4" w:space="0" w:color="auto"/>
            </w:tcBorders>
            <w:shd w:val="clear" w:color="auto" w:fill="auto"/>
            <w:vAlign w:val="bottom"/>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pBdr>
                <w:top w:val="nil"/>
                <w:left w:val="nil"/>
                <w:bottom w:val="nil"/>
                <w:right w:val="nil"/>
                <w:between w:val="nil"/>
              </w:pBd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ii. Sea información dinámica generada para la realización de una operación, así como en operaciones subsecuentes sin modificación alguna, en cuyo caso será considerada, para efectos del presente inciso, como un elemento independiente para autenticar las operaciones como autorizadas por el </w:t>
            </w:r>
            <w:r w:rsidRPr="00DB40D4">
              <w:rPr>
                <w:rFonts w:eastAsia="Times New Roman" w:cstheme="minorHAnsi"/>
                <w:color w:val="000000" w:themeColor="text1"/>
                <w:sz w:val="20"/>
                <w:szCs w:val="20"/>
                <w:u w:val="single"/>
                <w:lang w:val="es-419" w:eastAsia="pt-BR"/>
              </w:rPr>
              <w:t>Tarjetahabiente</w:t>
            </w:r>
            <w:r w:rsidRPr="00DB40D4">
              <w:rPr>
                <w:rFonts w:eastAsia="Times New Roman" w:cstheme="minorHAnsi"/>
                <w:color w:val="000000" w:themeColor="text1"/>
                <w:sz w:val="20"/>
                <w:szCs w:val="20"/>
                <w:lang w:val="es-419" w:eastAsia="pt-BR"/>
              </w:rPr>
              <w:t xml:space="preserve"> únicamente para la primera operación en que se utilice.</w:t>
            </w:r>
          </w:p>
          <w:p w:rsidR="00861F3E" w:rsidRPr="00DB40D4" w:rsidRDefault="00861F3E" w:rsidP="00776493">
            <w:pPr>
              <w:pBdr>
                <w:top w:val="nil"/>
                <w:left w:val="nil"/>
                <w:bottom w:val="nil"/>
                <w:right w:val="nil"/>
                <w:between w:val="nil"/>
              </w:pBdr>
              <w:spacing w:after="0" w:line="240" w:lineRule="auto"/>
              <w:jc w:val="both"/>
              <w:rPr>
                <w:color w:val="000000" w:themeColor="text1"/>
                <w:sz w:val="20"/>
                <w:szCs w:val="20"/>
                <w:lang w:val="es-419"/>
              </w:rPr>
            </w:pPr>
          </w:p>
        </w:tc>
        <w:tc>
          <w:tcPr>
            <w:tcW w:w="4248" w:type="dxa"/>
            <w:tcBorders>
              <w:top w:val="nil"/>
              <w:left w:val="nil"/>
              <w:bottom w:val="single" w:sz="4" w:space="0" w:color="auto"/>
              <w:right w:val="single" w:sz="4" w:space="0" w:color="auto"/>
            </w:tcBorders>
          </w:tcPr>
          <w:p w:rsidR="00861F3E" w:rsidRPr="00792575" w:rsidRDefault="00861F3E" w:rsidP="00776493">
            <w:pPr>
              <w:pBdr>
                <w:top w:val="nil"/>
                <w:left w:val="nil"/>
                <w:bottom w:val="nil"/>
                <w:right w:val="nil"/>
                <w:between w:val="nil"/>
              </w:pBdr>
              <w:spacing w:after="0" w:line="240" w:lineRule="auto"/>
              <w:jc w:val="both"/>
              <w:rPr>
                <w:rFonts w:eastAsia="Times New Roman" w:cstheme="minorHAnsi"/>
                <w:sz w:val="20"/>
                <w:szCs w:val="20"/>
                <w:lang w:val="es-419" w:eastAsia="pt-BR"/>
              </w:rPr>
            </w:pPr>
          </w:p>
        </w:tc>
      </w:tr>
      <w:tr w:rsidR="00861F3E" w:rsidRPr="00F03C43" w:rsidTr="00861F3E">
        <w:trPr>
          <w:trHeight w:val="900"/>
        </w:trPr>
        <w:tc>
          <w:tcPr>
            <w:tcW w:w="410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vAlign w:val="center"/>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c) Información derivada de características propias del </w:t>
            </w:r>
            <w:r w:rsidRPr="00DB40D4">
              <w:rPr>
                <w:rFonts w:eastAsia="Times New Roman" w:cstheme="minorHAnsi"/>
                <w:color w:val="000000" w:themeColor="text1"/>
                <w:sz w:val="20"/>
                <w:szCs w:val="20"/>
                <w:u w:val="single"/>
                <w:lang w:val="es-419" w:eastAsia="pt-BR"/>
              </w:rPr>
              <w:t>Tarjetahabiente</w:t>
            </w:r>
            <w:r w:rsidRPr="00DB40D4">
              <w:rPr>
                <w:rFonts w:eastAsia="Times New Roman" w:cstheme="minorHAnsi"/>
                <w:color w:val="000000" w:themeColor="text1"/>
                <w:sz w:val="20"/>
                <w:szCs w:val="20"/>
                <w:lang w:val="es-419" w:eastAsia="pt-BR"/>
              </w:rPr>
              <w:t>, tales como aquellas de carácter biométrico, como huellas dactilares, geometría de la mano o de la cara, patrones en iris o retina, entre otros.</w:t>
            </w:r>
          </w:p>
        </w:tc>
        <w:tc>
          <w:tcPr>
            <w:tcW w:w="4248" w:type="dxa"/>
            <w:tcBorders>
              <w:top w:val="single" w:sz="4" w:space="0" w:color="auto"/>
              <w:left w:val="single" w:sz="4" w:space="0" w:color="auto"/>
              <w:bottom w:val="single" w:sz="4" w:space="0" w:color="auto"/>
              <w:right w:val="single" w:sz="4" w:space="0" w:color="auto"/>
            </w:tcBorders>
          </w:tcPr>
          <w:p w:rsidR="00861F3E" w:rsidRPr="00792575"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6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II. Por operaciones en las que, para su realización, la Institución no requiera </w:t>
            </w:r>
            <w:r w:rsidRPr="00DB40D4">
              <w:rPr>
                <w:rFonts w:eastAsia="Times New Roman" w:cstheme="minorHAnsi"/>
                <w:color w:val="000000" w:themeColor="text1"/>
                <w:sz w:val="20"/>
                <w:szCs w:val="20"/>
                <w:u w:val="single"/>
                <w:lang w:val="es-419" w:eastAsia="pt-BR"/>
              </w:rPr>
              <w:t>al Tarjetahabiente</w:t>
            </w:r>
            <w:r w:rsidRPr="00DB40D4">
              <w:rPr>
                <w:rFonts w:eastAsia="Times New Roman" w:cstheme="minorHAnsi"/>
                <w:color w:val="000000" w:themeColor="text1"/>
                <w:sz w:val="20"/>
                <w:szCs w:val="20"/>
                <w:lang w:val="es-419" w:eastAsia="pt-BR"/>
              </w:rPr>
              <w:t xml:space="preserve"> que utilice dos de los elementos de autenticación a que se refiere la fracción anterior.</w:t>
            </w:r>
          </w:p>
        </w:tc>
        <w:tc>
          <w:tcPr>
            <w:tcW w:w="4248" w:type="dxa"/>
            <w:tcBorders>
              <w:top w:val="single" w:sz="4" w:space="0" w:color="auto"/>
              <w:left w:val="nil"/>
              <w:bottom w:val="single" w:sz="4" w:space="0" w:color="auto"/>
              <w:right w:val="single" w:sz="4" w:space="0" w:color="auto"/>
            </w:tcBorders>
          </w:tcPr>
          <w:p w:rsidR="00861F3E" w:rsidRPr="00792575"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2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La Institución deberá establecer procedimientos y mecanismos con el fin de que la información a que se refiere la fracción I no sea conocida por ninguno de sus funcionarios, empleados o representantes o por algún tercero, con anterioridad a su generación y uso por parte del </w:t>
            </w:r>
            <w:r w:rsidRPr="00DB40D4">
              <w:rPr>
                <w:rFonts w:eastAsia="Times New Roman" w:cstheme="minorHAnsi"/>
                <w:color w:val="000000" w:themeColor="text1"/>
                <w:sz w:val="20"/>
                <w:szCs w:val="20"/>
                <w:u w:val="single"/>
                <w:lang w:val="es-419" w:eastAsia="pt-BR"/>
              </w:rPr>
              <w:t>Tarjetahabiente.</w:t>
            </w:r>
          </w:p>
        </w:tc>
        <w:tc>
          <w:tcPr>
            <w:tcW w:w="4248" w:type="dxa"/>
            <w:tcBorders>
              <w:top w:val="nil"/>
              <w:left w:val="nil"/>
              <w:bottom w:val="single" w:sz="4" w:space="0" w:color="auto"/>
              <w:right w:val="single" w:sz="4" w:space="0" w:color="auto"/>
            </w:tcBorders>
          </w:tcPr>
          <w:p w:rsidR="00861F3E" w:rsidRPr="00792575"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3622"/>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jc w:val="both"/>
              <w:rPr>
                <w:rFonts w:eastAsia="Times New Roman" w:cstheme="minorHAnsi"/>
                <w:color w:val="000000" w:themeColor="text1"/>
                <w:sz w:val="20"/>
                <w:szCs w:val="20"/>
                <w:lang w:val="es-419" w:eastAsia="pt-BR"/>
              </w:rPr>
            </w:pPr>
          </w:p>
          <w:p w:rsidR="00861F3E" w:rsidRPr="00DB40D4" w:rsidRDefault="00861F3E" w:rsidP="00776493">
            <w:pPr>
              <w:jc w:val="both"/>
              <w:rPr>
                <w:rFonts w:eastAsia="Times New Roman" w:cstheme="minorHAnsi"/>
                <w:color w:val="000000" w:themeColor="text1"/>
                <w:sz w:val="20"/>
                <w:szCs w:val="20"/>
                <w:lang w:val="es-419" w:eastAsia="pt-BR"/>
              </w:rPr>
            </w:pPr>
          </w:p>
          <w:p w:rsidR="00861F3E" w:rsidRPr="00DB40D4" w:rsidRDefault="00861F3E" w:rsidP="00776493">
            <w:pPr>
              <w:jc w:val="both"/>
              <w:rPr>
                <w:rFonts w:eastAsia="Times New Roman" w:cstheme="minorHAnsi"/>
                <w:color w:val="000000" w:themeColor="text1"/>
                <w:sz w:val="20"/>
                <w:szCs w:val="20"/>
                <w:lang w:val="es-419" w:eastAsia="pt-BR"/>
              </w:rPr>
            </w:pPr>
          </w:p>
          <w:p w:rsidR="00861F3E" w:rsidRPr="00DB40D4" w:rsidRDefault="00861F3E" w:rsidP="00776493">
            <w:pPr>
              <w:jc w:val="both"/>
              <w:rPr>
                <w:rFonts w:eastAsia="Times New Roman" w:cstheme="minorHAnsi"/>
                <w:color w:val="000000" w:themeColor="text1"/>
                <w:sz w:val="20"/>
                <w:szCs w:val="20"/>
                <w:lang w:val="es-419" w:eastAsia="pt-BR"/>
              </w:rPr>
            </w:pPr>
          </w:p>
          <w:p w:rsidR="00861F3E" w:rsidRPr="00DB40D4" w:rsidRDefault="00861F3E" w:rsidP="00776493">
            <w:pPr>
              <w:jc w:val="both"/>
              <w:rPr>
                <w:rFonts w:eastAsia="Times New Roman" w:cstheme="minorHAnsi"/>
                <w:color w:val="000000" w:themeColor="text1"/>
                <w:sz w:val="20"/>
                <w:szCs w:val="20"/>
                <w:lang w:val="es-419" w:eastAsia="pt-BR"/>
              </w:rPr>
            </w:pPr>
          </w:p>
          <w:p w:rsidR="00861F3E" w:rsidRPr="00DB40D4" w:rsidRDefault="00861F3E" w:rsidP="00776493">
            <w:pPr>
              <w:jc w:val="both"/>
              <w:rPr>
                <w:rFonts w:eastAsia="Times New Roman" w:cstheme="minorHAnsi"/>
                <w:color w:val="000000" w:themeColor="text1"/>
                <w:sz w:val="20"/>
                <w:szCs w:val="20"/>
                <w:lang w:val="es-419" w:eastAsia="pt-BR"/>
              </w:rPr>
            </w:pPr>
          </w:p>
          <w:p w:rsidR="00861F3E" w:rsidRPr="00DB40D4" w:rsidRDefault="00861F3E" w:rsidP="00776493">
            <w:pPr>
              <w:jc w:val="both"/>
              <w:rPr>
                <w:rFonts w:eastAsia="Times New Roman" w:cstheme="minorHAnsi"/>
                <w:color w:val="000000" w:themeColor="text1"/>
                <w:sz w:val="20"/>
                <w:szCs w:val="20"/>
                <w:lang w:val="es-419" w:eastAsia="pt-BR"/>
              </w:rPr>
            </w:pPr>
          </w:p>
          <w:p w:rsidR="00861F3E" w:rsidRPr="00DB40D4" w:rsidRDefault="00861F3E" w:rsidP="00776493">
            <w:pPr>
              <w:jc w:val="both"/>
              <w:rPr>
                <w:rFonts w:eastAsia="Times New Roman" w:cstheme="minorHAnsi"/>
                <w:color w:val="000000" w:themeColor="text1"/>
                <w:sz w:val="20"/>
                <w:szCs w:val="20"/>
                <w:lang w:val="es-419" w:eastAsia="pt-BR"/>
              </w:rPr>
            </w:pP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Las Instituciones tendrán prohibido bloquear el procesamiento de transacciones realizadas con tarjetas de débito, en función del tipo de medio de acceso involucrado en dicho procesamiento. Como excepción a lo anterior, conforme a los criterios que establezcan las Instituciones </w:t>
            </w:r>
            <w:r w:rsidRPr="00DB40D4">
              <w:rPr>
                <w:rFonts w:eastAsia="Times New Roman" w:cstheme="minorHAnsi"/>
                <w:color w:val="000000" w:themeColor="text1"/>
                <w:sz w:val="20"/>
                <w:szCs w:val="20"/>
                <w:u w:val="single"/>
                <w:lang w:val="es-419" w:eastAsia="pt-BR"/>
              </w:rPr>
              <w:t>emisoras,</w:t>
            </w:r>
            <w:r w:rsidRPr="00DB40D4">
              <w:rPr>
                <w:rFonts w:eastAsia="Times New Roman" w:cstheme="minorHAnsi"/>
                <w:color w:val="000000" w:themeColor="text1"/>
                <w:sz w:val="20"/>
                <w:szCs w:val="20"/>
                <w:lang w:val="es-419" w:eastAsia="pt-BR"/>
              </w:rPr>
              <w:t xml:space="preserve"> los cuentahabientes podrán instruir a estas, a través de los medios electrónicos, de cómputo o telecomunicación que al efecto hayan pactado que: (i) bloqueen el procesamiento de pagos con su tarjeta de débito o, en su caso, con aquellas tarjetas de débito adicionales vinculadas a la misma Cuenta de Depósito del cuentahabiente, referidos a determinados medios de acceso involucrados en dicho procesamiento, y (ii) establezcan límites máximos respecto al monto por el que podrán realizarse operaciones con dichas tarjetas de débito o, en su caso, con aquellas tarjetas de débito adicionales vinculadas a la misma Cuenta de Depósito del cuentahabiente, o bien, respecto a su uso exclusivo en operaciones realizadas en territorio nacional. Los bloqueos o límites a que se refiere este párrafo se entenderán por tiempo indefinido, salvo que medie instrucción expresa del cuentahabiente que indique lo contrario.</w:t>
            </w: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single" w:sz="4" w:space="0" w:color="auto"/>
              <w:left w:val="single" w:sz="4" w:space="0" w:color="auto"/>
              <w:bottom w:val="single" w:sz="4" w:space="0" w:color="auto"/>
              <w:right w:val="single" w:sz="4" w:space="0" w:color="auto"/>
            </w:tcBorders>
          </w:tcPr>
          <w:p w:rsidR="00861F3E" w:rsidRPr="00792575" w:rsidRDefault="00861F3E" w:rsidP="00776493">
            <w:pPr>
              <w:spacing w:after="0" w:line="240" w:lineRule="auto"/>
              <w:jc w:val="both"/>
              <w:rPr>
                <w:rFonts w:eastAsia="Times New Roman" w:cstheme="minorHAnsi"/>
                <w:sz w:val="20"/>
                <w:szCs w:val="20"/>
                <w:lang w:val="es-419" w:eastAsia="pt-BR"/>
              </w:rPr>
            </w:pPr>
          </w:p>
        </w:tc>
      </w:tr>
      <w:tr w:rsidR="00861F3E" w:rsidRPr="00F03C43" w:rsidTr="00861F3E">
        <w:trPr>
          <w:trHeight w:val="1547"/>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En caso de que la Institución emita tarjetas de débito y tarjetas de crédito y realice el bloqueo de las operaciones que se efectúen con cualquier tipo de dichas tarjetas en algún receptor de pagos en particular, derivado del análisis de riesgo que dicha Institución lleve a cabo, esta deberá realizar el bloqueo correspondiente a los dos tipos de tarjetas que haya emitido a favor de todos sus clientes.</w:t>
            </w:r>
          </w:p>
        </w:tc>
        <w:tc>
          <w:tcPr>
            <w:tcW w:w="4248" w:type="dxa"/>
            <w:tcBorders>
              <w:top w:val="single" w:sz="4" w:space="0" w:color="auto"/>
              <w:left w:val="single" w:sz="4" w:space="0" w:color="auto"/>
              <w:bottom w:val="single" w:sz="4" w:space="0" w:color="auto"/>
              <w:right w:val="single" w:sz="4" w:space="0" w:color="auto"/>
            </w:tcBorders>
          </w:tcPr>
          <w:p w:rsidR="00861F3E" w:rsidRPr="000F72B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93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p>
        </w:tc>
        <w:tc>
          <w:tcPr>
            <w:tcW w:w="4248" w:type="dxa"/>
            <w:tcBorders>
              <w:top w:val="single" w:sz="4" w:space="0" w:color="auto"/>
              <w:left w:val="nil"/>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b/>
                <w:bCs/>
                <w:sz w:val="20"/>
                <w:szCs w:val="20"/>
                <w:lang w:val="es-419" w:eastAsia="pt-BR"/>
              </w:rPr>
            </w:pPr>
          </w:p>
        </w:tc>
      </w:tr>
      <w:tr w:rsidR="00861F3E" w:rsidRPr="00F03C43" w:rsidTr="00861F3E">
        <w:trPr>
          <w:trHeight w:val="1297"/>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b/>
                <w:color w:val="000000" w:themeColor="text1"/>
                <w:sz w:val="20"/>
                <w:szCs w:val="20"/>
                <w:lang w:val="es-419" w:eastAsia="pt-BR"/>
              </w:rPr>
              <w:t>19 Bis 1.-</w:t>
            </w:r>
            <w:r w:rsidRPr="00DB40D4">
              <w:rPr>
                <w:rFonts w:eastAsia="Times New Roman" w:cstheme="minorHAnsi"/>
                <w:color w:val="000000" w:themeColor="text1"/>
                <w:sz w:val="20"/>
                <w:szCs w:val="20"/>
                <w:lang w:val="es-419" w:eastAsia="pt-BR"/>
              </w:rPr>
              <w:t xml:space="preserve"> La Institución que administre una Cuenta de Depósito a la vista deberá permitir al cuentahabiente presentar avisos de: (i) robo o extravío de la tarjeta de débito correspondiente, o (ii) reclamaciones por cargos a dicha Cuenta que no reconozca como propios. </w:t>
            </w:r>
            <w:r w:rsidRPr="00DB40D4">
              <w:rPr>
                <w:rFonts w:eastAsia="Times New Roman" w:cstheme="minorHAnsi"/>
                <w:color w:val="000000" w:themeColor="text1"/>
                <w:sz w:val="20"/>
                <w:szCs w:val="20"/>
                <w:u w:val="single"/>
                <w:lang w:val="es-419" w:eastAsia="pt-BR"/>
              </w:rPr>
              <w:t>Tratándose de Tarjetahabientes adicionales a los cuentahabientes, las Instituciones emisoras de las tarjetas respectivas deberán permitirles a dichos Tarjetahabientes presentar avisos de robo o extravío de dichas tarjetas.</w:t>
            </w: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nil"/>
              <w:left w:val="nil"/>
              <w:bottom w:val="single" w:sz="4" w:space="0" w:color="auto"/>
              <w:right w:val="single" w:sz="4" w:space="0" w:color="auto"/>
            </w:tcBorders>
          </w:tcPr>
          <w:p w:rsidR="00861F3E" w:rsidRPr="000F72BE" w:rsidRDefault="00861F3E" w:rsidP="00776493">
            <w:pPr>
              <w:spacing w:after="0" w:line="240" w:lineRule="auto"/>
              <w:jc w:val="both"/>
              <w:rPr>
                <w:rFonts w:eastAsia="Times New Roman" w:cstheme="minorHAnsi"/>
                <w:b/>
                <w:sz w:val="20"/>
                <w:szCs w:val="20"/>
                <w:lang w:val="es-419" w:eastAsia="pt-BR"/>
              </w:rPr>
            </w:pPr>
          </w:p>
        </w:tc>
      </w:tr>
      <w:tr w:rsidR="00861F3E" w:rsidRPr="00F03C43" w:rsidTr="00861F3E">
        <w:trPr>
          <w:trHeight w:val="9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Para efectos de lo dispuesto en el párrafo anterior, la Institución deberá permitir al cuentahabiente </w:t>
            </w:r>
            <w:r w:rsidRPr="00DB40D4">
              <w:rPr>
                <w:rFonts w:eastAsia="Times New Roman" w:cstheme="minorHAnsi"/>
                <w:color w:val="000000" w:themeColor="text1"/>
                <w:sz w:val="20"/>
                <w:szCs w:val="20"/>
                <w:u w:val="single"/>
                <w:lang w:val="es-419" w:eastAsia="pt-BR"/>
              </w:rPr>
              <w:t>y Tarjetahabiente adicional presentarle</w:t>
            </w:r>
            <w:r w:rsidRPr="00DB40D4">
              <w:rPr>
                <w:rFonts w:eastAsia="Times New Roman" w:cstheme="minorHAnsi"/>
                <w:color w:val="000000" w:themeColor="text1"/>
                <w:sz w:val="20"/>
                <w:szCs w:val="20"/>
                <w:lang w:val="es-419" w:eastAsia="pt-BR"/>
              </w:rPr>
              <w:t xml:space="preserve"> el aviso que corresponda en alguna de las siguientes formas, a elección de estos últimos:</w:t>
            </w:r>
          </w:p>
        </w:tc>
        <w:tc>
          <w:tcPr>
            <w:tcW w:w="4248" w:type="dxa"/>
            <w:tcBorders>
              <w:top w:val="nil"/>
              <w:left w:val="nil"/>
              <w:bottom w:val="single" w:sz="4" w:space="0" w:color="auto"/>
              <w:right w:val="single" w:sz="4" w:space="0" w:color="auto"/>
            </w:tcBorders>
          </w:tcPr>
          <w:p w:rsidR="00861F3E" w:rsidRPr="000F72BE" w:rsidRDefault="00136A4B" w:rsidP="00776493">
            <w:pPr>
              <w:spacing w:after="0" w:line="240" w:lineRule="auto"/>
              <w:jc w:val="both"/>
              <w:rPr>
                <w:rFonts w:eastAsia="Times New Roman" w:cstheme="minorHAnsi"/>
                <w:color w:val="000000" w:themeColor="text1"/>
                <w:sz w:val="20"/>
                <w:szCs w:val="20"/>
                <w:lang w:val="es-419" w:eastAsia="pt-BR"/>
              </w:rPr>
            </w:pPr>
            <w:r w:rsidRPr="00774E43">
              <w:rPr>
                <w:rFonts w:eastAsia="Times New Roman" w:cstheme="minorHAnsi"/>
                <w:color w:val="002060"/>
                <w:sz w:val="20"/>
                <w:szCs w:val="20"/>
                <w:lang w:val="es-419" w:eastAsia="pt-BR"/>
              </w:rPr>
              <w:t>Dentro del contrato se definen los medios que los clientes podrán utilizar dependiendo del tipo de queja/aclaración. ¿Con ésta información se considera el cumplimiento o es necesario que se habiliten todos los canales?</w:t>
            </w:r>
          </w:p>
        </w:tc>
      </w:tr>
      <w:tr w:rsidR="00861F3E" w:rsidRPr="00F03C43" w:rsidTr="00861F3E">
        <w:trPr>
          <w:trHeight w:val="128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 Personalmente, en cualquiera de las sucursales de la Institución o por comunicación dada por medio de los canales de atención a sus cuentahabientes que la propia Institución haya habilitado para atender asuntos relacionados con las Cuentas de Depósitos correspondientes a las tarjetas de débito, o</w:t>
            </w:r>
          </w:p>
        </w:tc>
        <w:tc>
          <w:tcPr>
            <w:tcW w:w="4248" w:type="dxa"/>
            <w:tcBorders>
              <w:top w:val="nil"/>
              <w:left w:val="nil"/>
              <w:bottom w:val="single" w:sz="4" w:space="0" w:color="auto"/>
              <w:right w:val="single" w:sz="4" w:space="0" w:color="auto"/>
            </w:tcBorders>
          </w:tcPr>
          <w:p w:rsidR="00861F3E" w:rsidRPr="000F72B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915"/>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II. A través de los canales electrónicos o cualquier otro medio de comunicación que, al efecto, la Institución haya convenido con el cuentahabiente.</w:t>
            </w:r>
          </w:p>
        </w:tc>
        <w:tc>
          <w:tcPr>
            <w:tcW w:w="4248" w:type="dxa"/>
            <w:tcBorders>
              <w:top w:val="single" w:sz="4" w:space="0" w:color="auto"/>
              <w:left w:val="single" w:sz="4" w:space="0" w:color="auto"/>
              <w:bottom w:val="single" w:sz="4" w:space="0" w:color="auto"/>
              <w:right w:val="single" w:sz="4" w:space="0" w:color="auto"/>
            </w:tcBorders>
          </w:tcPr>
          <w:p w:rsidR="00861F3E" w:rsidRPr="000F72B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9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La Institución en ningún caso podrá requerir al cuentahabiente </w:t>
            </w:r>
            <w:r w:rsidRPr="00DB40D4">
              <w:rPr>
                <w:rFonts w:eastAsia="Times New Roman" w:cstheme="minorHAnsi"/>
                <w:color w:val="000000" w:themeColor="text1"/>
                <w:sz w:val="20"/>
                <w:szCs w:val="20"/>
                <w:u w:val="single"/>
                <w:lang w:val="es-419" w:eastAsia="pt-BR"/>
              </w:rPr>
              <w:t>y Tarjetahabiente adicional que realice trámite adicional</w:t>
            </w:r>
            <w:r w:rsidRPr="00DB40D4">
              <w:rPr>
                <w:rFonts w:eastAsia="Times New Roman" w:cstheme="minorHAnsi"/>
                <w:color w:val="000000" w:themeColor="text1"/>
                <w:sz w:val="20"/>
                <w:szCs w:val="20"/>
                <w:lang w:val="es-419" w:eastAsia="pt-BR"/>
              </w:rPr>
              <w:t xml:space="preserve"> a la presentación de los avisos a que se refiere el presente artículo.</w:t>
            </w:r>
          </w:p>
        </w:tc>
        <w:tc>
          <w:tcPr>
            <w:tcW w:w="4248" w:type="dxa"/>
            <w:tcBorders>
              <w:top w:val="single" w:sz="4" w:space="0" w:color="auto"/>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2426"/>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La Institución que reciba alguno de los avisos anteriormente referidos deberá proporcionar al cuentahabiente </w:t>
            </w:r>
            <w:r w:rsidRPr="00DB40D4">
              <w:rPr>
                <w:rFonts w:eastAsia="Times New Roman" w:cstheme="minorHAnsi"/>
                <w:color w:val="000000" w:themeColor="text1"/>
                <w:sz w:val="20"/>
                <w:szCs w:val="20"/>
                <w:u w:val="single"/>
                <w:lang w:val="es-419" w:eastAsia="pt-BR"/>
              </w:rPr>
              <w:t>y Tarjetahabiente adicional</w:t>
            </w:r>
            <w:r w:rsidRPr="00DB40D4">
              <w:rPr>
                <w:rFonts w:eastAsia="Times New Roman" w:cstheme="minorHAnsi"/>
                <w:color w:val="000000" w:themeColor="text1"/>
                <w:sz w:val="20"/>
                <w:szCs w:val="20"/>
                <w:lang w:val="es-419" w:eastAsia="pt-BR"/>
              </w:rPr>
              <w:t xml:space="preserve">, a elección de estos últimos, por escrito o por medios electrónicos o de telecomunicación, al menos, un número de referencia del aviso, así como la fecha y hora en que este se recibió. La Institución deberá entregar al cuentahabiente </w:t>
            </w:r>
            <w:r w:rsidRPr="00DB40D4">
              <w:rPr>
                <w:rFonts w:eastAsia="Times New Roman" w:cstheme="minorHAnsi"/>
                <w:color w:val="000000" w:themeColor="text1"/>
                <w:sz w:val="20"/>
                <w:szCs w:val="20"/>
                <w:u w:val="single"/>
                <w:lang w:val="es-419" w:eastAsia="pt-BR"/>
              </w:rPr>
              <w:t xml:space="preserve">y Tarjetahabiente adicional </w:t>
            </w:r>
            <w:r w:rsidRPr="00DB40D4">
              <w:rPr>
                <w:rFonts w:eastAsia="Times New Roman" w:cstheme="minorHAnsi"/>
                <w:color w:val="000000" w:themeColor="text1"/>
                <w:sz w:val="20"/>
                <w:szCs w:val="20"/>
                <w:lang w:val="es-419" w:eastAsia="pt-BR"/>
              </w:rPr>
              <w:t>la información referida en el momento en el que este haya presentado el aviso correspondiente de la manera a que se refiere la fracción I anterior, o bien, dentro de las veinticuatro horas posteriores a que este haya presentado el aviso de alguna de las maneras previstas en la fracción II. Las Instituciones deberán conservar evidencia de la información que haya proporcionado el cuentahabiente en términos del presente artículo.</w:t>
            </w:r>
          </w:p>
        </w:tc>
        <w:tc>
          <w:tcPr>
            <w:tcW w:w="4248" w:type="dxa"/>
            <w:tcBorders>
              <w:top w:val="nil"/>
              <w:left w:val="nil"/>
              <w:bottom w:val="single" w:sz="4" w:space="0" w:color="auto"/>
              <w:right w:val="single" w:sz="4" w:space="0" w:color="auto"/>
            </w:tcBorders>
          </w:tcPr>
          <w:p w:rsidR="00861F3E" w:rsidRPr="00A4725E" w:rsidRDefault="00861F3E" w:rsidP="00776493">
            <w:pPr>
              <w:spacing w:after="0" w:line="240" w:lineRule="auto"/>
              <w:jc w:val="both"/>
              <w:rPr>
                <w:rFonts w:eastAsia="Times New Roman" w:cstheme="minorHAnsi"/>
                <w:color w:val="000000" w:themeColor="text1"/>
                <w:sz w:val="20"/>
                <w:szCs w:val="20"/>
                <w:lang w:val="es-419" w:eastAsia="pt-BR"/>
              </w:rPr>
            </w:pPr>
          </w:p>
        </w:tc>
      </w:tr>
      <w:tr w:rsidR="00861F3E" w:rsidRPr="00F03C43" w:rsidTr="00861F3E">
        <w:trPr>
          <w:trHeight w:val="1422"/>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Las Instituciones deberán informar a los cuentahabientes, en los contratos de Depósito a la vista correspondientes a las Cuentas a las que se encuentren asociadas las respectivas tarjetas de débito, los medios por los cuales se podrán presentar los avisos referidos.</w:t>
            </w: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nil"/>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42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p>
        </w:tc>
        <w:tc>
          <w:tcPr>
            <w:tcW w:w="4248" w:type="dxa"/>
            <w:tcBorders>
              <w:top w:val="nil"/>
              <w:left w:val="nil"/>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b/>
                <w:bCs/>
                <w:color w:val="000000"/>
                <w:sz w:val="20"/>
                <w:szCs w:val="20"/>
                <w:lang w:val="es-419" w:eastAsia="pt-BR"/>
              </w:rPr>
            </w:pPr>
          </w:p>
        </w:tc>
      </w:tr>
      <w:tr w:rsidR="00861F3E" w:rsidRPr="00F03C43" w:rsidTr="00861F3E">
        <w:trPr>
          <w:trHeight w:val="1983"/>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vAlign w:val="center"/>
          </w:tcPr>
          <w:p w:rsidR="00861F3E" w:rsidRPr="00DB40D4" w:rsidRDefault="00861F3E" w:rsidP="00776493">
            <w:pPr>
              <w:spacing w:after="0" w:line="240" w:lineRule="auto"/>
              <w:jc w:val="both"/>
              <w:rPr>
                <w:rFonts w:eastAsia="Times New Roman" w:cstheme="minorHAnsi"/>
                <w:bCs/>
                <w:color w:val="000000" w:themeColor="text1"/>
                <w:sz w:val="20"/>
                <w:szCs w:val="20"/>
                <w:u w:val="single"/>
                <w:lang w:val="es-419" w:eastAsia="pt-BR"/>
              </w:rPr>
            </w:pPr>
            <w:r w:rsidRPr="00DB40D4">
              <w:rPr>
                <w:rFonts w:eastAsia="Times New Roman" w:cstheme="minorHAnsi"/>
                <w:bCs/>
                <w:color w:val="000000" w:themeColor="text1"/>
                <w:sz w:val="20"/>
                <w:szCs w:val="20"/>
                <w:lang w:val="es-419" w:eastAsia="pt-BR"/>
              </w:rPr>
              <w:t xml:space="preserve">Artículo 19 Bis 2.- </w:t>
            </w:r>
            <w:r w:rsidRPr="00DB40D4">
              <w:rPr>
                <w:rFonts w:eastAsia="Times New Roman" w:cstheme="minorHAnsi"/>
                <w:bCs/>
                <w:color w:val="000000" w:themeColor="text1"/>
                <w:sz w:val="20"/>
                <w:szCs w:val="20"/>
                <w:u w:val="single"/>
                <w:lang w:val="es-419" w:eastAsia="pt-BR"/>
              </w:rPr>
              <w:t>En caso de que el cuentahabiente o, en su caso, el Tarjetahabiente adicional haya presentado alguno de los avisos previstos en el artículo 19 Bis 1 anterior, la Institución que lo reciba deberá poner a disposición del cuentahabiente, a través de su página en internet, en alguna comunicación que adjunte al estado de cuenta respectivo o por medio de algún otro mecanismo que pacte con el cuentahabiente, un informe en el que incluya, al menos, la información siguiente:</w:t>
            </w:r>
          </w:p>
          <w:p w:rsidR="00861F3E" w:rsidRPr="00DB40D4" w:rsidRDefault="00861F3E" w:rsidP="00776493">
            <w:pPr>
              <w:spacing w:after="0" w:line="240" w:lineRule="auto"/>
              <w:jc w:val="both"/>
              <w:rPr>
                <w:rFonts w:eastAsia="Times New Roman" w:cstheme="minorHAnsi"/>
                <w:bCs/>
                <w:color w:val="000000" w:themeColor="text1"/>
                <w:sz w:val="20"/>
                <w:szCs w:val="20"/>
                <w:u w:val="single"/>
                <w:lang w:val="es-419" w:eastAsia="pt-BR"/>
              </w:rPr>
            </w:pPr>
          </w:p>
          <w:p w:rsidR="00861F3E" w:rsidRPr="00DB40D4" w:rsidRDefault="00861F3E" w:rsidP="00A20436">
            <w:pPr>
              <w:spacing w:after="0" w:line="240" w:lineRule="auto"/>
              <w:jc w:val="both"/>
              <w:rPr>
                <w:rFonts w:eastAsia="Times New Roman" w:cstheme="minorHAnsi"/>
                <w:bCs/>
                <w:color w:val="000000" w:themeColor="text1"/>
                <w:sz w:val="20"/>
                <w:szCs w:val="20"/>
                <w:u w:val="single"/>
                <w:lang w:val="es-419" w:eastAsia="pt-BR"/>
              </w:rPr>
            </w:pPr>
            <w:r w:rsidRPr="00DB40D4">
              <w:rPr>
                <w:rFonts w:eastAsia="Times New Roman" w:cstheme="minorHAnsi"/>
                <w:bCs/>
                <w:color w:val="000000" w:themeColor="text1"/>
                <w:sz w:val="20"/>
                <w:szCs w:val="20"/>
                <w:u w:val="single"/>
                <w:lang w:val="es-419" w:eastAsia="pt-BR"/>
              </w:rPr>
              <w:t>I. El alcance de la responsabilidad de dicho cuentahabiente por los cargos a la Cuenta, registrados antes y después de que se presente el referido aviso;</w:t>
            </w:r>
          </w:p>
          <w:p w:rsidR="00861F3E" w:rsidRPr="00DB40D4" w:rsidRDefault="00861F3E" w:rsidP="00A20436">
            <w:pPr>
              <w:spacing w:after="0" w:line="240" w:lineRule="auto"/>
              <w:jc w:val="both"/>
              <w:rPr>
                <w:rFonts w:eastAsia="Times New Roman" w:cstheme="minorHAnsi"/>
                <w:bCs/>
                <w:color w:val="000000" w:themeColor="text1"/>
                <w:sz w:val="20"/>
                <w:szCs w:val="20"/>
                <w:u w:val="single"/>
                <w:lang w:val="es-419" w:eastAsia="pt-BR"/>
              </w:rPr>
            </w:pPr>
            <w:r w:rsidRPr="00DB40D4">
              <w:rPr>
                <w:rFonts w:eastAsia="Times New Roman" w:cstheme="minorHAnsi"/>
                <w:bCs/>
                <w:color w:val="000000" w:themeColor="text1"/>
                <w:sz w:val="20"/>
                <w:szCs w:val="20"/>
                <w:u w:val="single"/>
                <w:lang w:val="es-419" w:eastAsia="pt-BR"/>
              </w:rPr>
              <w:t>II. La fecha y hora en la que se recibió el aviso, y</w:t>
            </w:r>
          </w:p>
          <w:p w:rsidR="00861F3E" w:rsidRPr="00DB40D4" w:rsidRDefault="00861F3E" w:rsidP="00A20436">
            <w:pPr>
              <w:spacing w:after="0" w:line="240" w:lineRule="auto"/>
              <w:jc w:val="both"/>
              <w:rPr>
                <w:rFonts w:eastAsia="Times New Roman" w:cstheme="minorHAnsi"/>
                <w:bCs/>
                <w:color w:val="000000" w:themeColor="text1"/>
                <w:sz w:val="20"/>
                <w:szCs w:val="20"/>
                <w:u w:val="single"/>
                <w:lang w:val="es-419" w:eastAsia="pt-BR"/>
              </w:rPr>
            </w:pPr>
            <w:r w:rsidRPr="00DB40D4">
              <w:rPr>
                <w:rFonts w:eastAsia="Times New Roman" w:cstheme="minorHAnsi"/>
                <w:bCs/>
                <w:color w:val="000000" w:themeColor="text1"/>
                <w:sz w:val="20"/>
                <w:szCs w:val="20"/>
                <w:u w:val="single"/>
                <w:lang w:val="es-419" w:eastAsia="pt-BR"/>
              </w:rPr>
              <w:t>III. El estado de la investigación llevada a cabo en atención al aviso presentado.</w:t>
            </w:r>
          </w:p>
          <w:p w:rsidR="00861F3E" w:rsidRPr="00DB40D4" w:rsidRDefault="00861F3E" w:rsidP="00776493">
            <w:pPr>
              <w:spacing w:after="0" w:line="240" w:lineRule="auto"/>
              <w:jc w:val="both"/>
              <w:rPr>
                <w:rFonts w:eastAsia="Times New Roman" w:cstheme="minorHAnsi"/>
                <w:bCs/>
                <w:color w:val="000000" w:themeColor="text1"/>
                <w:sz w:val="20"/>
                <w:szCs w:val="20"/>
                <w:lang w:val="es-419" w:eastAsia="pt-BR"/>
              </w:rPr>
            </w:pPr>
          </w:p>
        </w:tc>
        <w:tc>
          <w:tcPr>
            <w:tcW w:w="4248" w:type="dxa"/>
            <w:tcBorders>
              <w:top w:val="single" w:sz="4" w:space="0" w:color="auto"/>
              <w:left w:val="single" w:sz="4" w:space="0" w:color="auto"/>
              <w:bottom w:val="single" w:sz="4" w:space="0" w:color="auto"/>
              <w:right w:val="single" w:sz="4" w:space="0" w:color="auto"/>
            </w:tcBorders>
          </w:tcPr>
          <w:p w:rsidR="00861F3E" w:rsidRDefault="00861F3E" w:rsidP="00776493">
            <w:pPr>
              <w:spacing w:after="0" w:line="240" w:lineRule="auto"/>
              <w:jc w:val="both"/>
              <w:rPr>
                <w:rFonts w:eastAsia="Times New Roman" w:cstheme="minorHAnsi"/>
                <w:bCs/>
                <w:color w:val="000000"/>
                <w:sz w:val="20"/>
                <w:szCs w:val="20"/>
                <w:lang w:val="es-419" w:eastAsia="pt-BR"/>
              </w:rPr>
            </w:pPr>
          </w:p>
          <w:p w:rsidR="00DB40D4" w:rsidRDefault="00DB40D4" w:rsidP="00776493">
            <w:pPr>
              <w:spacing w:after="0" w:line="240" w:lineRule="auto"/>
              <w:jc w:val="both"/>
              <w:rPr>
                <w:rFonts w:eastAsia="Times New Roman" w:cstheme="minorHAnsi"/>
                <w:bCs/>
                <w:color w:val="000000"/>
                <w:sz w:val="20"/>
                <w:szCs w:val="20"/>
                <w:lang w:val="es-419" w:eastAsia="pt-BR"/>
              </w:rPr>
            </w:pPr>
          </w:p>
          <w:p w:rsidR="00DB40D4" w:rsidRDefault="00DB40D4" w:rsidP="00776493">
            <w:pPr>
              <w:spacing w:after="0" w:line="240" w:lineRule="auto"/>
              <w:jc w:val="both"/>
              <w:rPr>
                <w:rFonts w:eastAsia="Times New Roman" w:cstheme="minorHAnsi"/>
                <w:bCs/>
                <w:color w:val="000000"/>
                <w:sz w:val="20"/>
                <w:szCs w:val="20"/>
                <w:lang w:val="es-419" w:eastAsia="pt-BR"/>
              </w:rPr>
            </w:pPr>
          </w:p>
          <w:p w:rsidR="00DB40D4" w:rsidRDefault="00DB40D4" w:rsidP="00776493">
            <w:pPr>
              <w:spacing w:after="0" w:line="240" w:lineRule="auto"/>
              <w:jc w:val="both"/>
              <w:rPr>
                <w:rFonts w:eastAsia="Times New Roman" w:cstheme="minorHAnsi"/>
                <w:bCs/>
                <w:color w:val="000000"/>
                <w:sz w:val="20"/>
                <w:szCs w:val="20"/>
                <w:lang w:val="es-419" w:eastAsia="pt-BR"/>
              </w:rPr>
            </w:pPr>
          </w:p>
          <w:p w:rsidR="00DB40D4" w:rsidRPr="00A4725E" w:rsidRDefault="00DB40D4" w:rsidP="00776493">
            <w:pPr>
              <w:spacing w:after="0" w:line="240" w:lineRule="auto"/>
              <w:jc w:val="both"/>
              <w:rPr>
                <w:rFonts w:eastAsia="Times New Roman" w:cstheme="minorHAnsi"/>
                <w:bCs/>
                <w:color w:val="000000"/>
                <w:sz w:val="20"/>
                <w:szCs w:val="20"/>
                <w:lang w:val="es-419" w:eastAsia="pt-BR"/>
              </w:rPr>
            </w:pPr>
            <w:r w:rsidRPr="00AE0347">
              <w:rPr>
                <w:rFonts w:eastAsia="Times New Roman" w:cstheme="minorHAnsi"/>
                <w:bCs/>
                <w:color w:val="002060"/>
                <w:sz w:val="20"/>
                <w:szCs w:val="20"/>
                <w:lang w:val="es-419" w:eastAsia="pt-BR"/>
              </w:rPr>
              <w:t xml:space="preserve">El aviso a que se refiere este punto, ¿se debe </w:t>
            </w:r>
            <w:r>
              <w:rPr>
                <w:rFonts w:eastAsia="Times New Roman" w:cstheme="minorHAnsi"/>
                <w:bCs/>
                <w:color w:val="002060"/>
                <w:sz w:val="20"/>
                <w:szCs w:val="20"/>
                <w:lang w:val="es-419" w:eastAsia="pt-BR"/>
              </w:rPr>
              <w:t>incluir de forma permanente en los estados de cuenta, o únicamente cuándo el cliente haya presentado alguna queja/aclaración?</w:t>
            </w:r>
          </w:p>
        </w:tc>
      </w:tr>
      <w:tr w:rsidR="00861F3E" w:rsidRPr="00F03C43" w:rsidTr="00861F3E">
        <w:trPr>
          <w:trHeight w:val="18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lang w:val="es-419" w:eastAsia="pt-BR"/>
              </w:rPr>
              <w:t xml:space="preserve">En el supuesto señalado en el párrafo anterior, la Institución deberá precisar </w:t>
            </w:r>
            <w:r w:rsidRPr="00DB40D4">
              <w:rPr>
                <w:rFonts w:eastAsia="Times New Roman" w:cstheme="minorHAnsi"/>
                <w:color w:val="000000" w:themeColor="text1"/>
                <w:sz w:val="20"/>
                <w:szCs w:val="20"/>
                <w:u w:val="single"/>
                <w:lang w:val="es-419" w:eastAsia="pt-BR"/>
              </w:rPr>
              <w:t>al cuentahabiente</w:t>
            </w:r>
            <w:r w:rsidRPr="00DB40D4">
              <w:rPr>
                <w:rFonts w:eastAsia="Times New Roman" w:cstheme="minorHAnsi"/>
                <w:color w:val="000000" w:themeColor="text1"/>
                <w:sz w:val="20"/>
                <w:szCs w:val="20"/>
                <w:lang w:val="es-419" w:eastAsia="pt-BR"/>
              </w:rPr>
              <w:t xml:space="preserve"> que este no será responsable de los cargos que se efectúen a la Cuenta de Depósito a la vista respectiva con motivo de la utilización de la tarjeta de débito a partir de la presentación del aviso referido en el artículo anterior, así como el derecho de la Institución de exigir el pago de los cargos a dicha Cuenta que hayan sido autorizados previamente por el cuentahabiente </w:t>
            </w:r>
            <w:r w:rsidRPr="00DB40D4">
              <w:rPr>
                <w:rFonts w:eastAsia="Times New Roman" w:cstheme="minorHAnsi"/>
                <w:color w:val="000000" w:themeColor="text1"/>
                <w:sz w:val="20"/>
                <w:szCs w:val="20"/>
                <w:u w:val="single"/>
                <w:lang w:val="es-419" w:eastAsia="pt-BR"/>
              </w:rPr>
              <w:t>o, en su caso, el Tarjetahabiente adicional.</w:t>
            </w:r>
          </w:p>
          <w:p w:rsidR="00DB40D4" w:rsidRPr="00DB40D4" w:rsidRDefault="00DB40D4"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single" w:sz="4" w:space="0" w:color="auto"/>
              <w:left w:val="nil"/>
              <w:bottom w:val="single" w:sz="4" w:space="0" w:color="auto"/>
              <w:right w:val="single" w:sz="4" w:space="0" w:color="auto"/>
            </w:tcBorders>
          </w:tcPr>
          <w:p w:rsidR="00861F3E" w:rsidRPr="00A20436"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2273"/>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shd w:val="clear" w:color="000000" w:fill="FFFFFF"/>
          </w:tcPr>
          <w:p w:rsidR="00861F3E" w:rsidRPr="00DB40D4" w:rsidRDefault="00861F3E" w:rsidP="00776493">
            <w:pPr>
              <w:pBdr>
                <w:top w:val="nil"/>
                <w:left w:val="nil"/>
                <w:bottom w:val="nil"/>
                <w:right w:val="nil"/>
                <w:between w:val="nil"/>
              </w:pBd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b/>
                <w:color w:val="000000" w:themeColor="text1"/>
                <w:sz w:val="20"/>
                <w:szCs w:val="20"/>
                <w:lang w:val="es-419" w:eastAsia="pt-BR"/>
              </w:rPr>
              <w:t>Artículo 19 Bis 3.-</w:t>
            </w:r>
            <w:r w:rsidRPr="00DB40D4">
              <w:rPr>
                <w:rFonts w:eastAsia="Times New Roman" w:cstheme="minorHAnsi"/>
                <w:color w:val="000000" w:themeColor="text1"/>
                <w:sz w:val="20"/>
                <w:szCs w:val="20"/>
                <w:lang w:val="es-419" w:eastAsia="pt-BR"/>
              </w:rPr>
              <w:t xml:space="preserve"> La Institución que reciba </w:t>
            </w:r>
            <w:r w:rsidRPr="00DB40D4">
              <w:rPr>
                <w:rFonts w:eastAsia="Times New Roman" w:cstheme="minorHAnsi"/>
                <w:color w:val="000000" w:themeColor="text1"/>
                <w:sz w:val="20"/>
                <w:szCs w:val="20"/>
                <w:u w:val="single"/>
                <w:lang w:val="es-419" w:eastAsia="pt-BR"/>
              </w:rPr>
              <w:t>del Tarjetahabiente</w:t>
            </w:r>
            <w:r w:rsidRPr="00DB40D4">
              <w:rPr>
                <w:rFonts w:eastAsia="Times New Roman" w:cstheme="minorHAnsi"/>
                <w:color w:val="000000" w:themeColor="text1"/>
                <w:sz w:val="20"/>
                <w:szCs w:val="20"/>
                <w:lang w:val="es-419" w:eastAsia="pt-BR"/>
              </w:rPr>
              <w:t xml:space="preserve"> alguno de los avisos a que se refiere el primer párrafo del artículo 19 Bis 1 estará obligada a abonar en la respectiva Cuenta de Depósito, a más tardar el segundo Día Hábil Bancario siguiente a la recepción de dicho aviso, el monto equivalente a aquellos cargos realizados en esa Cuenta que sean objeto del aviso de que se trate, siempre y cuando:</w:t>
            </w:r>
          </w:p>
          <w:p w:rsidR="00861F3E" w:rsidRPr="00DB40D4" w:rsidRDefault="00861F3E" w:rsidP="00776493">
            <w:pPr>
              <w:pBdr>
                <w:top w:val="nil"/>
                <w:left w:val="nil"/>
                <w:bottom w:val="nil"/>
                <w:right w:val="nil"/>
                <w:between w:val="nil"/>
              </w:pBdr>
              <w:spacing w:after="0" w:line="240" w:lineRule="auto"/>
              <w:jc w:val="both"/>
              <w:rPr>
                <w:rFonts w:eastAsia="Times New Roman" w:cstheme="minorHAnsi"/>
                <w:color w:val="000000" w:themeColor="text1"/>
                <w:sz w:val="20"/>
                <w:szCs w:val="20"/>
                <w:lang w:eastAsia="pt-BR"/>
              </w:rPr>
            </w:pPr>
          </w:p>
        </w:tc>
        <w:tc>
          <w:tcPr>
            <w:tcW w:w="4248" w:type="dxa"/>
            <w:tcBorders>
              <w:top w:val="nil"/>
              <w:left w:val="nil"/>
              <w:bottom w:val="single" w:sz="4" w:space="0" w:color="auto"/>
              <w:right w:val="single" w:sz="4" w:space="0" w:color="auto"/>
            </w:tcBorders>
            <w:shd w:val="clear" w:color="000000" w:fill="FFFFFF"/>
          </w:tcPr>
          <w:p w:rsidR="00861F3E" w:rsidRPr="00A20436" w:rsidRDefault="00861F3E" w:rsidP="00776493">
            <w:pPr>
              <w:pBdr>
                <w:top w:val="nil"/>
                <w:left w:val="nil"/>
                <w:bottom w:val="nil"/>
                <w:right w:val="nil"/>
                <w:between w:val="nil"/>
              </w:pBdr>
              <w:spacing w:after="0" w:line="240" w:lineRule="auto"/>
              <w:jc w:val="both"/>
              <w:rPr>
                <w:rFonts w:eastAsia="Times New Roman" w:cstheme="minorHAnsi"/>
                <w:b/>
                <w:color w:val="000000" w:themeColor="text1"/>
                <w:sz w:val="20"/>
                <w:szCs w:val="20"/>
                <w:lang w:val="es-419" w:eastAsia="pt-BR"/>
              </w:rPr>
            </w:pPr>
          </w:p>
        </w:tc>
      </w:tr>
      <w:tr w:rsidR="00861F3E" w:rsidRPr="00F03C43" w:rsidTr="00861F3E">
        <w:trPr>
          <w:trHeight w:val="1126"/>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 Los referidos cargos correspondan a operaciones realizadas durante las cuarenta y ocho horas previas a la presentación del aviso a que se refiere el artículo 19 Bis 1, primer párrafo, inciso (i), y, a su vez, dichos cargos no sean reconocidos por el cuentahabiente, o</w:t>
            </w:r>
          </w:p>
        </w:tc>
        <w:tc>
          <w:tcPr>
            <w:tcW w:w="4248" w:type="dxa"/>
            <w:tcBorders>
              <w:top w:val="single" w:sz="4" w:space="0" w:color="auto"/>
              <w:left w:val="single" w:sz="4" w:space="0" w:color="auto"/>
              <w:bottom w:val="single" w:sz="4" w:space="0" w:color="auto"/>
              <w:right w:val="single" w:sz="4" w:space="0" w:color="auto"/>
            </w:tcBorders>
          </w:tcPr>
          <w:p w:rsidR="00861F3E" w:rsidRPr="00A20436"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28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II. Si el aviso corresponde al indicado en el artículo 19 Bis, primer párrafo, inciso (ii), relativo a la reclamación por cargos que el cuentahabiente no reconozca como propios, este se haya presentado a la Institución dentro de un plazo de noventa Días posteriores a la fecha en que se realizó el cargo no reconocido.</w:t>
            </w:r>
          </w:p>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p>
        </w:tc>
        <w:tc>
          <w:tcPr>
            <w:tcW w:w="4248" w:type="dxa"/>
            <w:tcBorders>
              <w:top w:val="single" w:sz="4" w:space="0" w:color="auto"/>
              <w:left w:val="nil"/>
              <w:bottom w:val="single" w:sz="4" w:space="0" w:color="auto"/>
              <w:right w:val="single" w:sz="4" w:space="0" w:color="auto"/>
            </w:tcBorders>
          </w:tcPr>
          <w:p w:rsidR="00861F3E" w:rsidRPr="00A20436" w:rsidRDefault="00861F3E" w:rsidP="00776493">
            <w:pPr>
              <w:spacing w:after="0" w:line="240" w:lineRule="auto"/>
              <w:jc w:val="both"/>
              <w:rPr>
                <w:rFonts w:eastAsia="Times New Roman" w:cstheme="minorHAnsi"/>
                <w:color w:val="00B050"/>
                <w:sz w:val="20"/>
                <w:szCs w:val="20"/>
                <w:u w:val="single"/>
                <w:lang w:val="es-419" w:eastAsia="pt-BR"/>
              </w:rPr>
            </w:pPr>
          </w:p>
        </w:tc>
      </w:tr>
      <w:tr w:rsidR="00861F3E" w:rsidRPr="00F03C43" w:rsidTr="00861F3E">
        <w:trPr>
          <w:trHeight w:val="127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 </w:t>
            </w:r>
            <w:r w:rsidRPr="00DB40D4">
              <w:rPr>
                <w:rFonts w:eastAsia="Times New Roman" w:cstheme="minorHAnsi"/>
                <w:color w:val="000000" w:themeColor="text1"/>
                <w:sz w:val="20"/>
                <w:szCs w:val="20"/>
                <w:u w:val="single"/>
                <w:lang w:val="es-419" w:eastAsia="pt-BR"/>
              </w:rPr>
              <w:t xml:space="preserve">La Institución del Tarjetahabiente no estará obligada a realizar el abono a que se refiere el párrafo anterior en caso de que esta, dentro del plazo indicado en dicho párrafo, entregue al cuentahabiente un dictamen en el que compruebe que los cargos objeto del aviso respectivo corresponden a operaciones con la tarjeta de débito asociada a la Cuenta de Depósito que hayan sido realizadas en términos de la fracción I del artículo 19 Bis, a menos de que exista evidencia de que el cargo fue producto de una falla operativa imputable </w:t>
            </w:r>
            <w:r w:rsidRPr="00DB40D4">
              <w:rPr>
                <w:rFonts w:eastAsia="Times New Roman" w:cstheme="minorHAnsi"/>
                <w:color w:val="000000" w:themeColor="text1"/>
                <w:sz w:val="20"/>
                <w:szCs w:val="20"/>
                <w:u w:val="single"/>
                <w:lang w:val="es-419" w:eastAsia="pt-BR"/>
              </w:rPr>
              <w:lastRenderedPageBreak/>
              <w:t>a la Institución emisora o a la Institución o entidad que haya procesado la instrucción del cargo referido a favor del receptor de los recursos correspondientes, conforme al acuerdo interinstitucional celebrado al efecto, como sería el caso de un cargo duplicado indebidamente.</w:t>
            </w:r>
          </w:p>
          <w:p w:rsidR="00861F3E" w:rsidRPr="00DB40D4" w:rsidRDefault="00861F3E" w:rsidP="00776493">
            <w:pPr>
              <w:spacing w:after="0" w:line="240" w:lineRule="auto"/>
              <w:jc w:val="both"/>
              <w:rPr>
                <w:rFonts w:eastAsia="Times New Roman" w:cstheme="minorHAnsi"/>
                <w:color w:val="000000" w:themeColor="text1"/>
                <w:sz w:val="20"/>
                <w:szCs w:val="20"/>
                <w:highlight w:val="yellow"/>
                <w:lang w:val="es-419" w:eastAsia="pt-BR"/>
              </w:rPr>
            </w:pPr>
          </w:p>
        </w:tc>
        <w:tc>
          <w:tcPr>
            <w:tcW w:w="4248" w:type="dxa"/>
            <w:tcBorders>
              <w:top w:val="single" w:sz="4" w:space="0" w:color="auto"/>
              <w:left w:val="single" w:sz="4" w:space="0" w:color="auto"/>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420"/>
        </w:trPr>
        <w:tc>
          <w:tcPr>
            <w:tcW w:w="4106" w:type="dxa"/>
            <w:tcBorders>
              <w:top w:val="nil"/>
              <w:left w:val="single" w:sz="4" w:space="0" w:color="auto"/>
              <w:bottom w:val="single" w:sz="4" w:space="0" w:color="auto"/>
              <w:right w:val="single" w:sz="4" w:space="0" w:color="auto"/>
            </w:tcBorders>
            <w:shd w:val="clear" w:color="auto" w:fill="auto"/>
            <w:vAlign w:val="center"/>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nil"/>
              <w:left w:val="nil"/>
              <w:bottom w:val="single" w:sz="4" w:space="0" w:color="auto"/>
              <w:right w:val="single" w:sz="4" w:space="0" w:color="auto"/>
            </w:tcBorders>
            <w:vAlign w:val="center"/>
          </w:tcPr>
          <w:p w:rsidR="00861F3E" w:rsidRPr="00DB40D4" w:rsidRDefault="00861F3E" w:rsidP="00776493">
            <w:pPr>
              <w:spacing w:after="0" w:line="240" w:lineRule="auto"/>
              <w:jc w:val="both"/>
              <w:rPr>
                <w:rFonts w:eastAsia="Times New Roman" w:cstheme="minorHAnsi"/>
                <w:bCs/>
                <w:color w:val="000000" w:themeColor="text1"/>
                <w:sz w:val="20"/>
                <w:szCs w:val="20"/>
                <w:lang w:val="es-419" w:eastAsia="pt-BR"/>
              </w:rPr>
            </w:pPr>
            <w:r w:rsidRPr="00DB40D4">
              <w:rPr>
                <w:rFonts w:eastAsia="Times New Roman" w:cstheme="minorHAnsi"/>
                <w:bCs/>
                <w:color w:val="000000" w:themeColor="text1"/>
                <w:sz w:val="20"/>
                <w:szCs w:val="20"/>
                <w:u w:val="single"/>
                <w:lang w:val="es-419" w:eastAsia="pt-BR"/>
              </w:rPr>
              <w:t>La Institución emisora</w:t>
            </w:r>
            <w:r w:rsidRPr="00DB40D4">
              <w:rPr>
                <w:rFonts w:eastAsia="Times New Roman" w:cstheme="minorHAnsi"/>
                <w:bCs/>
                <w:color w:val="000000" w:themeColor="text1"/>
                <w:sz w:val="20"/>
                <w:szCs w:val="20"/>
                <w:lang w:val="es-419" w:eastAsia="pt-BR"/>
              </w:rPr>
              <w:t xml:space="preserve"> deberá entregar al cuentahabiente el dictamen a que se refiere el párrafo anterior en términos del artículo 19 Bis 4.</w:t>
            </w:r>
          </w:p>
        </w:tc>
        <w:tc>
          <w:tcPr>
            <w:tcW w:w="4248" w:type="dxa"/>
            <w:tcBorders>
              <w:top w:val="nil"/>
              <w:left w:val="nil"/>
              <w:bottom w:val="single" w:sz="4" w:space="0" w:color="auto"/>
              <w:right w:val="single" w:sz="4" w:space="0" w:color="auto"/>
            </w:tcBorders>
          </w:tcPr>
          <w:p w:rsidR="00861F3E" w:rsidRPr="00A20436" w:rsidRDefault="00861F3E" w:rsidP="00776493">
            <w:pPr>
              <w:spacing w:after="0" w:line="240" w:lineRule="auto"/>
              <w:jc w:val="both"/>
              <w:rPr>
                <w:rFonts w:eastAsia="Times New Roman" w:cstheme="minorHAnsi"/>
                <w:bCs/>
                <w:color w:val="00B050"/>
                <w:sz w:val="20"/>
                <w:szCs w:val="20"/>
                <w:u w:val="single"/>
                <w:lang w:val="es-419" w:eastAsia="pt-BR"/>
              </w:rPr>
            </w:pPr>
          </w:p>
        </w:tc>
      </w:tr>
      <w:tr w:rsidR="00861F3E" w:rsidRPr="00F03C43" w:rsidTr="00861F3E">
        <w:trPr>
          <w:trHeight w:val="982"/>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El plazo de noventa Días a que se refiere </w:t>
            </w:r>
            <w:r w:rsidRPr="00DB40D4">
              <w:rPr>
                <w:rFonts w:eastAsia="Times New Roman" w:cstheme="minorHAnsi"/>
                <w:color w:val="000000" w:themeColor="text1"/>
                <w:sz w:val="20"/>
                <w:szCs w:val="20"/>
                <w:u w:val="single"/>
                <w:lang w:val="es-419" w:eastAsia="pt-BR"/>
              </w:rPr>
              <w:t>la fracción II</w:t>
            </w:r>
            <w:r w:rsidRPr="00DB40D4">
              <w:rPr>
                <w:rFonts w:eastAsia="Times New Roman" w:cstheme="minorHAnsi"/>
                <w:color w:val="000000" w:themeColor="text1"/>
                <w:sz w:val="20"/>
                <w:szCs w:val="20"/>
                <w:lang w:val="es-419" w:eastAsia="pt-BR"/>
              </w:rPr>
              <w:t xml:space="preserve"> de este artículo comenzará a contar a partir de la fecha </w:t>
            </w:r>
            <w:r w:rsidRPr="00DB40D4">
              <w:rPr>
                <w:rFonts w:eastAsia="Times New Roman" w:cstheme="minorHAnsi"/>
                <w:color w:val="000000" w:themeColor="text1"/>
                <w:sz w:val="20"/>
                <w:szCs w:val="20"/>
                <w:u w:val="single"/>
                <w:lang w:val="es-419" w:eastAsia="pt-BR"/>
              </w:rPr>
              <w:t>de corte del estado de cuenta referido a la Cuenta de Depósito a la vista que corresponda a la tarjeta de débito respectiva, que refleje el cargo relacionado con el aviso indicado en dicha fracción.</w:t>
            </w:r>
          </w:p>
        </w:tc>
        <w:tc>
          <w:tcPr>
            <w:tcW w:w="4248" w:type="dxa"/>
            <w:tcBorders>
              <w:top w:val="single" w:sz="4" w:space="0" w:color="auto"/>
              <w:left w:val="single" w:sz="4" w:space="0" w:color="auto"/>
              <w:bottom w:val="single" w:sz="4" w:space="0" w:color="auto"/>
              <w:right w:val="single" w:sz="4" w:space="0" w:color="auto"/>
            </w:tcBorders>
          </w:tcPr>
          <w:p w:rsidR="00861F3E" w:rsidRPr="00A20436"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139"/>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Para realizar los abonos a que se refiere este artículo, </w:t>
            </w:r>
            <w:r w:rsidRPr="00DB40D4">
              <w:rPr>
                <w:rFonts w:eastAsia="Times New Roman" w:cstheme="minorHAnsi"/>
                <w:color w:val="000000" w:themeColor="text1"/>
                <w:sz w:val="20"/>
                <w:szCs w:val="20"/>
                <w:u w:val="single"/>
                <w:lang w:val="es-419" w:eastAsia="pt-BR"/>
              </w:rPr>
              <w:t>la Institución deberá abstenerse de requerir</w:t>
            </w:r>
            <w:r w:rsidRPr="00DB40D4">
              <w:rPr>
                <w:rFonts w:eastAsia="Times New Roman" w:cstheme="minorHAnsi"/>
                <w:color w:val="000000" w:themeColor="text1"/>
                <w:sz w:val="20"/>
                <w:szCs w:val="20"/>
                <w:lang w:val="es-419" w:eastAsia="pt-BR"/>
              </w:rPr>
              <w:t xml:space="preserve"> al cuentahabiente que realice cualquier trámite adicional al de la presentación de los avisos señalados.</w:t>
            </w:r>
          </w:p>
        </w:tc>
        <w:tc>
          <w:tcPr>
            <w:tcW w:w="4248" w:type="dxa"/>
            <w:tcBorders>
              <w:top w:val="single" w:sz="4" w:space="0" w:color="auto"/>
              <w:left w:val="nil"/>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21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Para el caso en que el cuentahabiente no reconozca, mediante el aviso previsto en el artículo 19 Bis 1, primer párrafo, inciso ii), cargos realizados por la utilización de una tarjeta de débito vinculada a una Cuenta de Depósito nivel 1, las Instituciones emisoras deberán validar que este corresponde al propietario de los recursos de dicha Cuenta, de conformidad con lo establecido en el artículo 20 de las presentes Disposiciones.</w:t>
            </w: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nil"/>
              <w:left w:val="nil"/>
              <w:bottom w:val="single" w:sz="4" w:space="0" w:color="auto"/>
              <w:right w:val="single" w:sz="4" w:space="0" w:color="auto"/>
            </w:tcBorders>
          </w:tcPr>
          <w:p w:rsidR="00861F3E" w:rsidRPr="000B352D" w:rsidRDefault="00861F3E" w:rsidP="00776493">
            <w:pPr>
              <w:spacing w:after="0" w:line="240" w:lineRule="auto"/>
              <w:jc w:val="both"/>
              <w:rPr>
                <w:rFonts w:eastAsia="Times New Roman" w:cstheme="minorHAnsi"/>
                <w:color w:val="00B050"/>
                <w:sz w:val="20"/>
                <w:szCs w:val="20"/>
                <w:u w:val="single"/>
                <w:lang w:val="es-419" w:eastAsia="pt-BR"/>
              </w:rPr>
            </w:pPr>
          </w:p>
        </w:tc>
      </w:tr>
      <w:tr w:rsidR="00861F3E" w:rsidRPr="00F03C43" w:rsidTr="00861F3E">
        <w:trPr>
          <w:trHeight w:val="840"/>
        </w:trPr>
        <w:tc>
          <w:tcPr>
            <w:tcW w:w="4106" w:type="dxa"/>
            <w:tcBorders>
              <w:top w:val="nil"/>
              <w:left w:val="single" w:sz="4" w:space="0" w:color="auto"/>
              <w:bottom w:val="single" w:sz="4" w:space="0" w:color="auto"/>
              <w:right w:val="single" w:sz="4" w:space="0" w:color="auto"/>
            </w:tcBorders>
            <w:shd w:val="clear" w:color="auto" w:fill="auto"/>
            <w:vAlign w:val="center"/>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color w:val="000000" w:themeColor="text1"/>
                <w:sz w:val="20"/>
                <w:szCs w:val="20"/>
                <w:u w:val="single"/>
                <w:lang w:val="es-419" w:eastAsia="pt-BR"/>
              </w:rPr>
              <w:t>En caso de que los cargos objeto de alguno de los avisos referidos en el primer párrafo del artículo 19 Bis 1 hayan sido realizados como resultado de las instrucciones generadas por una Institución o entidad que, conforme al acuerdo interinstitucional celebrado al efecto, haya procesado dichas instrucciones a favor de los receptores de los recursos correspondientes, la Institución emisora de la tarjeta de débito respectiva deberá requerir a esa otra Institución o entidad, la devolución de los recursos correspondientes a dichos cargos, a más tardar el segundo Día Hábil Bancario siguiente a aquel en que así lo requiera la Institución emisora. En este supuesto, la Institución emisora solo podrá obtener la devolución referida siempre y cuando haya requerido, para la generación de las instrucciones de cargo referidas, la utilización de, al menos, dos factores de autenticación conforme a lo establecido en el artículo 19 Bis, fracción I, de las presentes Disposiciones, y la Institución o entidad que haya generado dichas instrucciones no haya proporcionado a la Institución emisora los elementos suficientes para validar dichos factores en términos del acuerdo celebrado al efecto.</w:t>
            </w:r>
          </w:p>
        </w:tc>
        <w:tc>
          <w:tcPr>
            <w:tcW w:w="4248" w:type="dxa"/>
            <w:tcBorders>
              <w:top w:val="nil"/>
              <w:left w:val="nil"/>
              <w:bottom w:val="single" w:sz="4" w:space="0" w:color="auto"/>
              <w:right w:val="single" w:sz="4" w:space="0" w:color="auto"/>
            </w:tcBorders>
          </w:tcPr>
          <w:p w:rsidR="00861F3E" w:rsidRPr="000B352D" w:rsidRDefault="00861F3E" w:rsidP="00776493">
            <w:pPr>
              <w:spacing w:after="0" w:line="240" w:lineRule="auto"/>
              <w:jc w:val="both"/>
              <w:rPr>
                <w:rFonts w:eastAsia="Times New Roman" w:cstheme="minorHAnsi"/>
                <w:color w:val="00B050"/>
                <w:sz w:val="20"/>
                <w:szCs w:val="20"/>
                <w:u w:val="single"/>
                <w:lang w:val="es-419" w:eastAsia="pt-BR"/>
              </w:rPr>
            </w:pPr>
          </w:p>
        </w:tc>
      </w:tr>
      <w:tr w:rsidR="00861F3E" w:rsidRPr="00F03C43" w:rsidTr="00861F3E">
        <w:trPr>
          <w:trHeight w:val="84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DB40D4" w:rsidP="00776493">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b/>
                <w:bCs/>
                <w:color w:val="000000" w:themeColor="text1"/>
                <w:sz w:val="20"/>
                <w:szCs w:val="20"/>
                <w:lang w:val="es-419" w:eastAsia="pt-BR"/>
              </w:rPr>
              <w:t>Reversión de abonos realizados a Cuentas de Depósitos a la vista por operaciones con tarjetas de débito</w:t>
            </w:r>
          </w:p>
        </w:tc>
        <w:tc>
          <w:tcPr>
            <w:tcW w:w="4248" w:type="dxa"/>
            <w:tcBorders>
              <w:top w:val="nil"/>
              <w:left w:val="nil"/>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b/>
                <w:bCs/>
                <w:color w:val="000000"/>
                <w:sz w:val="20"/>
                <w:szCs w:val="20"/>
                <w:lang w:val="es-419" w:eastAsia="pt-BR"/>
              </w:rPr>
            </w:pPr>
          </w:p>
        </w:tc>
      </w:tr>
      <w:tr w:rsidR="00861F3E" w:rsidRPr="00F03C43" w:rsidTr="00861F3E">
        <w:trPr>
          <w:trHeight w:val="128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b/>
                <w:color w:val="000000" w:themeColor="text1"/>
                <w:sz w:val="20"/>
                <w:szCs w:val="20"/>
                <w:lang w:val="es-419" w:eastAsia="pt-BR"/>
              </w:rPr>
              <w:t>Artículo 19 Bis 4.-</w:t>
            </w:r>
            <w:r w:rsidRPr="00DB40D4">
              <w:rPr>
                <w:rFonts w:eastAsia="Times New Roman" w:cstheme="minorHAnsi"/>
                <w:color w:val="000000" w:themeColor="text1"/>
                <w:sz w:val="20"/>
                <w:szCs w:val="20"/>
                <w:lang w:val="es-419" w:eastAsia="pt-BR"/>
              </w:rPr>
              <w:t xml:space="preserve"> </w:t>
            </w:r>
            <w:r w:rsidRPr="00DB40D4">
              <w:rPr>
                <w:rFonts w:eastAsia="Times New Roman" w:cstheme="minorHAnsi"/>
                <w:color w:val="000000" w:themeColor="text1"/>
                <w:sz w:val="20"/>
                <w:szCs w:val="20"/>
                <w:u w:val="single"/>
                <w:lang w:val="es-419" w:eastAsia="pt-BR"/>
              </w:rPr>
              <w:t>La Institución del Tarjetahabiente</w:t>
            </w:r>
            <w:r w:rsidRPr="00DB40D4">
              <w:rPr>
                <w:rFonts w:eastAsia="Times New Roman" w:cstheme="minorHAnsi"/>
                <w:color w:val="000000" w:themeColor="text1"/>
                <w:sz w:val="20"/>
                <w:szCs w:val="20"/>
                <w:lang w:val="es-419" w:eastAsia="pt-BR"/>
              </w:rPr>
              <w:t xml:space="preserve"> únicamente podrá </w:t>
            </w:r>
            <w:r w:rsidRPr="00DB40D4">
              <w:rPr>
                <w:rFonts w:eastAsia="Times New Roman" w:cstheme="minorHAnsi"/>
                <w:color w:val="000000" w:themeColor="text1"/>
                <w:sz w:val="20"/>
                <w:szCs w:val="20"/>
                <w:u w:val="single"/>
                <w:lang w:val="es-419" w:eastAsia="pt-BR"/>
              </w:rPr>
              <w:t>obtener la devolución del monto correspondiente al abono que haya realizado en términos del artículo 19 Bis 3</w:t>
            </w:r>
            <w:r w:rsidRPr="00DB40D4">
              <w:rPr>
                <w:rFonts w:eastAsia="Times New Roman" w:cstheme="minorHAnsi"/>
                <w:color w:val="000000" w:themeColor="text1"/>
                <w:sz w:val="20"/>
                <w:szCs w:val="20"/>
                <w:lang w:val="es-419" w:eastAsia="pt-BR"/>
              </w:rPr>
              <w:t xml:space="preserve">, cuando acredite al cuentahabiente </w:t>
            </w:r>
            <w:r w:rsidRPr="00DB40D4">
              <w:rPr>
                <w:rFonts w:eastAsia="Times New Roman" w:cstheme="minorHAnsi"/>
                <w:color w:val="000000" w:themeColor="text1"/>
                <w:sz w:val="20"/>
                <w:szCs w:val="20"/>
                <w:u w:val="single"/>
                <w:lang w:val="es-419" w:eastAsia="pt-BR"/>
              </w:rPr>
              <w:t>que el cargo respecto del cual haya realizado dicho abono derivó de una operación ejecutada</w:t>
            </w:r>
            <w:r w:rsidRPr="00DB40D4">
              <w:rPr>
                <w:rFonts w:eastAsia="Times New Roman" w:cstheme="minorHAnsi"/>
                <w:color w:val="000000" w:themeColor="text1"/>
                <w:sz w:val="20"/>
                <w:szCs w:val="20"/>
                <w:lang w:val="es-419" w:eastAsia="pt-BR"/>
              </w:rPr>
              <w:t xml:space="preserve"> de conformidad con lo dispuesto en la fracción I del artículo 19 Bis anterior.</w:t>
            </w:r>
          </w:p>
        </w:tc>
        <w:tc>
          <w:tcPr>
            <w:tcW w:w="4248" w:type="dxa"/>
            <w:tcBorders>
              <w:top w:val="nil"/>
              <w:left w:val="nil"/>
              <w:bottom w:val="single" w:sz="4" w:space="0" w:color="auto"/>
              <w:right w:val="single" w:sz="4" w:space="0" w:color="auto"/>
            </w:tcBorders>
          </w:tcPr>
          <w:p w:rsidR="00861F3E" w:rsidRPr="000B352D" w:rsidRDefault="00861F3E" w:rsidP="00776493">
            <w:pPr>
              <w:spacing w:after="0" w:line="240" w:lineRule="auto"/>
              <w:jc w:val="both"/>
              <w:rPr>
                <w:rFonts w:eastAsia="Times New Roman" w:cstheme="minorHAnsi"/>
                <w:b/>
                <w:sz w:val="20"/>
                <w:szCs w:val="20"/>
                <w:lang w:val="es-419" w:eastAsia="pt-BR"/>
              </w:rPr>
            </w:pPr>
          </w:p>
        </w:tc>
      </w:tr>
      <w:tr w:rsidR="00861F3E" w:rsidRPr="00F03C43" w:rsidTr="00861F3E">
        <w:trPr>
          <w:trHeight w:val="9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En caso de que proceda la devolución del monto indicado en el párrafo anterior y este, a su vez, corresponda a un cargo derivado de una instrucción emitida por otra Institución o entidad que provee el servicio de aceptación de tarjetas al receptor de pagos que, conforme al acuerdo interinstitucional celebrado al efecto, haya procesado dicha instrucción a favor del receptor de los recursos correspondientes, la Institución que obtenga dicha devolución del Tarjetahabiente deberá transferir a favor de aquella otra Institución o entidad los recursos equivalentes a dicho monto a más tardar el segundo Día Hábil Bancario siguiente a aquel en que esa otra Institución o entidad haya requerido dicha transferencia, lo anterior únicamente en los casos en que la institución del Tarjetahabiente haya recibido previamente dichos recursos de la otra institución o entidad.</w:t>
            </w:r>
          </w:p>
        </w:tc>
        <w:tc>
          <w:tcPr>
            <w:tcW w:w="4248" w:type="dxa"/>
            <w:tcBorders>
              <w:top w:val="nil"/>
              <w:left w:val="nil"/>
              <w:bottom w:val="single" w:sz="4" w:space="0" w:color="auto"/>
              <w:right w:val="single" w:sz="4" w:space="0" w:color="auto"/>
            </w:tcBorders>
          </w:tcPr>
          <w:p w:rsidR="00861F3E" w:rsidRPr="000B352D" w:rsidRDefault="00DB40D4" w:rsidP="00776493">
            <w:pPr>
              <w:spacing w:after="0" w:line="240" w:lineRule="auto"/>
              <w:jc w:val="both"/>
              <w:rPr>
                <w:rFonts w:eastAsia="Times New Roman" w:cstheme="minorHAnsi"/>
                <w:color w:val="00B050"/>
                <w:sz w:val="20"/>
                <w:szCs w:val="20"/>
                <w:u w:val="single"/>
                <w:lang w:val="es-419" w:eastAsia="pt-BR"/>
              </w:rPr>
            </w:pPr>
            <w:r w:rsidRPr="00774E43">
              <w:rPr>
                <w:rFonts w:eastAsia="Times New Roman" w:cstheme="minorHAnsi"/>
                <w:color w:val="002060"/>
                <w:sz w:val="20"/>
                <w:szCs w:val="20"/>
                <w:lang w:val="es-419" w:eastAsia="pt-BR"/>
              </w:rPr>
              <w:t>Actualmente, únicamente se cobra una comisión por el proceso de investigación, confirmar que para el cobro de esta no es necesario tomar como referencia el interés de la tarjeta de crédito referida en el mismo párrafo.</w:t>
            </w:r>
          </w:p>
        </w:tc>
      </w:tr>
      <w:tr w:rsidR="00861F3E" w:rsidRPr="00F03C43" w:rsidTr="00861F3E">
        <w:trPr>
          <w:trHeight w:val="21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 xml:space="preserve">La Institución que tenga derecho a la devolución del monto abonado en términos del supuesto previsto en el primer párrafo de este artículo podrá cobrar intereses por dicho monto, equivalentes a una tasa que en ningún caso podrá ser superior a aquella tasa de interés, aplicable a la línea de crédito correspondiente a la tarjeta de la categoría referida como “clásica”, que sea la más baja de todas aquellas tarjetas emitidas por las instituciones respectivas, según se indique en la más reciente publicación del Banco de México de los indicadores de dichas tasas, </w:t>
            </w:r>
            <w:r w:rsidRPr="00DB40D4">
              <w:rPr>
                <w:rFonts w:eastAsia="Times New Roman" w:cstheme="minorHAnsi"/>
                <w:color w:val="000000" w:themeColor="text1"/>
                <w:sz w:val="20"/>
                <w:szCs w:val="20"/>
                <w:u w:val="single"/>
                <w:lang w:val="es-419" w:eastAsia="pt-BR"/>
              </w:rPr>
              <w:lastRenderedPageBreak/>
              <w:t>por un periodo máximo de dos Días Hábiles Bancarios posteriores a que haya hecho el abono al que se refiere el Artículo 19 Bis 3.</w:t>
            </w:r>
          </w:p>
        </w:tc>
        <w:tc>
          <w:tcPr>
            <w:tcW w:w="4248" w:type="dxa"/>
            <w:tcBorders>
              <w:top w:val="single" w:sz="4" w:space="0" w:color="auto"/>
              <w:left w:val="single" w:sz="4" w:space="0" w:color="auto"/>
              <w:bottom w:val="single" w:sz="4" w:space="0" w:color="auto"/>
              <w:right w:val="single" w:sz="4" w:space="0" w:color="auto"/>
            </w:tcBorders>
          </w:tcPr>
          <w:p w:rsidR="00861F3E" w:rsidRPr="000B352D" w:rsidRDefault="00861F3E" w:rsidP="00776493">
            <w:pPr>
              <w:spacing w:after="0" w:line="240" w:lineRule="auto"/>
              <w:jc w:val="both"/>
              <w:rPr>
                <w:rFonts w:eastAsia="Times New Roman" w:cstheme="minorHAnsi"/>
                <w:color w:val="00B050"/>
                <w:sz w:val="20"/>
                <w:szCs w:val="20"/>
                <w:u w:val="single"/>
                <w:lang w:val="es-419" w:eastAsia="pt-BR"/>
              </w:rPr>
            </w:pPr>
          </w:p>
        </w:tc>
      </w:tr>
      <w:tr w:rsidR="00861F3E" w:rsidRPr="00F03C43" w:rsidTr="00861F3E">
        <w:trPr>
          <w:trHeight w:val="21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Para efectos del primer párrafo del presente artículo, la Institución emisora deberá </w:t>
            </w:r>
            <w:r w:rsidRPr="00DB40D4">
              <w:rPr>
                <w:rFonts w:eastAsia="Times New Roman" w:cstheme="minorHAnsi"/>
                <w:color w:val="000000" w:themeColor="text1"/>
                <w:sz w:val="20"/>
                <w:szCs w:val="20"/>
                <w:u w:val="single"/>
                <w:lang w:val="es-419" w:eastAsia="pt-BR"/>
              </w:rPr>
              <w:t>poner a disposición del cuentahabiente,</w:t>
            </w:r>
            <w:r w:rsidRPr="00DB40D4">
              <w:rPr>
                <w:rFonts w:eastAsia="Times New Roman" w:cstheme="minorHAnsi"/>
                <w:color w:val="000000" w:themeColor="text1"/>
                <w:sz w:val="20"/>
                <w:szCs w:val="20"/>
                <w:lang w:val="es-419" w:eastAsia="pt-BR"/>
              </w:rPr>
              <w:t xml:space="preserve"> en la sucursal en la que radica la cuenta, o bien, a través de los medios que al efecto haya convenido con el cuentahabiente, a elección de este último, dentro de un plazo de cuarenta y cinco Días contado a partir de la fecha en la que haya recibido el aviso a que se refiere el artículo 19 Bis 1, un dictamen, en lenguaje simple y claro, suscrito por personal de la Institución facultado para ello, que contenga, por lo menos, la información siguiente:</w:t>
            </w:r>
          </w:p>
        </w:tc>
        <w:tc>
          <w:tcPr>
            <w:tcW w:w="4248" w:type="dxa"/>
            <w:tcBorders>
              <w:top w:val="single" w:sz="4" w:space="0" w:color="auto"/>
              <w:left w:val="single" w:sz="4" w:space="0" w:color="auto"/>
              <w:bottom w:val="single" w:sz="4" w:space="0" w:color="auto"/>
              <w:right w:val="single" w:sz="4" w:space="0" w:color="auto"/>
            </w:tcBorders>
          </w:tcPr>
          <w:p w:rsidR="00861F3E" w:rsidRPr="000B352D" w:rsidRDefault="00DB40D4" w:rsidP="00776493">
            <w:pPr>
              <w:spacing w:after="0" w:line="240" w:lineRule="auto"/>
              <w:jc w:val="both"/>
              <w:rPr>
                <w:rFonts w:eastAsia="Times New Roman" w:cstheme="minorHAnsi"/>
                <w:color w:val="000000" w:themeColor="text1"/>
                <w:sz w:val="20"/>
                <w:szCs w:val="20"/>
                <w:lang w:val="es-419" w:eastAsia="pt-BR"/>
              </w:rPr>
            </w:pPr>
            <w:r w:rsidRPr="00774E43">
              <w:rPr>
                <w:rFonts w:eastAsia="Times New Roman" w:cstheme="minorHAnsi"/>
                <w:color w:val="002060"/>
                <w:sz w:val="20"/>
                <w:szCs w:val="20"/>
                <w:lang w:val="es-419" w:eastAsia="pt-BR"/>
              </w:rPr>
              <w:t>Este cambio tiene un impacto en temas de operación, dado que cada una de las notificaciones deberá ir personalizada de acuerdo al caso de cada uno de los clientes. Se sugiere que la notificación que se menciona en el párrafo, sea entregada únicamente a solicitud de los clientes.</w:t>
            </w:r>
          </w:p>
        </w:tc>
      </w:tr>
      <w:tr w:rsidR="00861F3E" w:rsidRPr="00F03C43" w:rsidTr="00861F3E">
        <w:trPr>
          <w:trHeight w:val="120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I. Evidencia de </w:t>
            </w:r>
            <w:r w:rsidRPr="00DB40D4">
              <w:rPr>
                <w:rFonts w:eastAsia="Times New Roman" w:cstheme="minorHAnsi"/>
                <w:color w:val="000000" w:themeColor="text1"/>
                <w:sz w:val="20"/>
                <w:szCs w:val="20"/>
                <w:u w:val="single"/>
                <w:lang w:val="es-419" w:eastAsia="pt-BR"/>
              </w:rPr>
              <w:t>los factores</w:t>
            </w:r>
            <w:r w:rsidRPr="00DB40D4">
              <w:rPr>
                <w:rFonts w:eastAsia="Times New Roman" w:cstheme="minorHAnsi"/>
                <w:color w:val="000000" w:themeColor="text1"/>
                <w:sz w:val="20"/>
                <w:szCs w:val="20"/>
                <w:lang w:val="es-419" w:eastAsia="pt-BR"/>
              </w:rPr>
              <w:t xml:space="preserve"> de autenticación utilizados de acuerdo con lo establecido en la fracción I del artículo 19 Bis, así como la explicación, en lenguaje simple y claro, de dichos factores y la forma en que su verificación se realizó de acuerdo con los procedimientos aplicables a dichos factores de autenticación.</w:t>
            </w:r>
          </w:p>
        </w:tc>
        <w:tc>
          <w:tcPr>
            <w:tcW w:w="4248" w:type="dxa"/>
            <w:tcBorders>
              <w:top w:val="single" w:sz="4" w:space="0" w:color="auto"/>
              <w:left w:val="nil"/>
              <w:bottom w:val="single" w:sz="4" w:space="0" w:color="auto"/>
              <w:right w:val="single" w:sz="4" w:space="0" w:color="auto"/>
            </w:tcBorders>
          </w:tcPr>
          <w:p w:rsidR="00861F3E" w:rsidRPr="000B352D"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II. Hora </w:t>
            </w:r>
            <w:r w:rsidRPr="00DB40D4">
              <w:rPr>
                <w:rFonts w:eastAsia="Times New Roman" w:cstheme="minorHAnsi"/>
                <w:color w:val="000000" w:themeColor="text1"/>
                <w:sz w:val="20"/>
                <w:szCs w:val="20"/>
                <w:u w:val="single"/>
                <w:lang w:val="es-419" w:eastAsia="pt-BR"/>
              </w:rPr>
              <w:t>y minuto</w:t>
            </w:r>
            <w:r w:rsidRPr="00DB40D4">
              <w:rPr>
                <w:rFonts w:eastAsia="Times New Roman" w:cstheme="minorHAnsi"/>
                <w:color w:val="000000" w:themeColor="text1"/>
                <w:sz w:val="20"/>
                <w:szCs w:val="20"/>
                <w:lang w:val="es-419" w:eastAsia="pt-BR"/>
              </w:rPr>
              <w:t xml:space="preserve"> en que se realizó la operación.</w:t>
            </w:r>
          </w:p>
        </w:tc>
        <w:tc>
          <w:tcPr>
            <w:tcW w:w="4248" w:type="dxa"/>
            <w:tcBorders>
              <w:top w:val="nil"/>
              <w:left w:val="nil"/>
              <w:bottom w:val="single" w:sz="4" w:space="0" w:color="auto"/>
              <w:right w:val="single" w:sz="4" w:space="0" w:color="auto"/>
            </w:tcBorders>
          </w:tcPr>
          <w:p w:rsidR="00861F3E" w:rsidRPr="000B352D"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III. </w:t>
            </w:r>
            <w:r w:rsidRPr="00DB40D4">
              <w:rPr>
                <w:rFonts w:eastAsia="Times New Roman" w:cstheme="minorHAnsi"/>
                <w:color w:val="000000" w:themeColor="text1"/>
                <w:sz w:val="20"/>
                <w:szCs w:val="20"/>
                <w:u w:val="single"/>
                <w:lang w:val="es-419" w:eastAsia="pt-BR"/>
              </w:rPr>
              <w:t>Nombre de la Institución que procesó la operación relacionada con el cargo a la Cuenta que haya sido objeto del aviso,</w:t>
            </w:r>
            <w:r w:rsidRPr="00DB40D4">
              <w:rPr>
                <w:rFonts w:eastAsia="Times New Roman" w:cstheme="minorHAnsi"/>
                <w:color w:val="000000" w:themeColor="text1"/>
                <w:sz w:val="20"/>
                <w:szCs w:val="20"/>
                <w:lang w:val="es-419" w:eastAsia="pt-BR"/>
              </w:rPr>
              <w:t xml:space="preserve"> así como nombre del receptor de pagos en donde se originó la operación.</w:t>
            </w:r>
          </w:p>
        </w:tc>
        <w:tc>
          <w:tcPr>
            <w:tcW w:w="4248" w:type="dxa"/>
            <w:tcBorders>
              <w:top w:val="nil"/>
              <w:left w:val="nil"/>
              <w:bottom w:val="single" w:sz="4" w:space="0" w:color="auto"/>
              <w:right w:val="single" w:sz="4" w:space="0" w:color="auto"/>
            </w:tcBorders>
          </w:tcPr>
          <w:p w:rsidR="00861F3E" w:rsidRPr="000B352D"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9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IV. En caso de contar con ella, la dirección física en la que se encuentra el dispositivo en el que se realizó la operación o, en su caso, dirección del protocolo de internet (IP, por sus siglas en inglés) a través de la cual dicho dispositivo haya estado conectado a internet.</w:t>
            </w:r>
          </w:p>
        </w:tc>
        <w:tc>
          <w:tcPr>
            <w:tcW w:w="4248" w:type="dxa"/>
            <w:tcBorders>
              <w:top w:val="nil"/>
              <w:left w:val="nil"/>
              <w:bottom w:val="single" w:sz="4" w:space="0" w:color="auto"/>
              <w:right w:val="single" w:sz="4" w:space="0" w:color="auto"/>
            </w:tcBorders>
          </w:tcPr>
          <w:p w:rsidR="00861F3E" w:rsidRPr="000B352D"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6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Tratándose de reclamaciones relativas a operaciones realizadas en el extranjero, el plazo señalado en el párrafo anterior será de ciento ochenta Días.</w:t>
            </w:r>
          </w:p>
        </w:tc>
        <w:tc>
          <w:tcPr>
            <w:tcW w:w="4248" w:type="dxa"/>
            <w:tcBorders>
              <w:top w:val="nil"/>
              <w:left w:val="nil"/>
              <w:bottom w:val="single" w:sz="4" w:space="0" w:color="auto"/>
              <w:right w:val="single" w:sz="4" w:space="0" w:color="auto"/>
            </w:tcBorders>
          </w:tcPr>
          <w:p w:rsidR="00861F3E" w:rsidRPr="000B352D" w:rsidRDefault="00861F3E" w:rsidP="00776493">
            <w:pPr>
              <w:spacing w:after="0" w:line="240" w:lineRule="auto"/>
              <w:jc w:val="both"/>
              <w:rPr>
                <w:rFonts w:eastAsia="Times New Roman" w:cstheme="minorHAnsi"/>
                <w:sz w:val="20"/>
                <w:szCs w:val="20"/>
                <w:lang w:val="es-419" w:eastAsia="pt-BR"/>
              </w:rPr>
            </w:pPr>
          </w:p>
        </w:tc>
      </w:tr>
      <w:tr w:rsidR="00861F3E" w:rsidRPr="00F03C43" w:rsidTr="00861F3E">
        <w:trPr>
          <w:trHeight w:val="24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Las Instituciones deberán, a solicitud del cuentahabiente, poner a su disposición y entregar, sin costo alguno, durante el plazo de cuarenta y cinco Días siguiente a la entrega del dictamen referido en este artículo, en la sucursal en la que radica la Cuenta, o bien, en la unidad especializada que la Institución de que se trate haya establecido para la atención a usuarios, productos y servicios financieros conforme a la Ley de Protección y Defensa al Usuario de Servicios Financieros, una copia del expediente generado con motivo del aviso a que se refiere el artículo 19 Bis 1, en el que se incorpore la documentación e información que se relacione directamente con la misma.</w:t>
            </w:r>
          </w:p>
        </w:tc>
        <w:tc>
          <w:tcPr>
            <w:tcW w:w="4248" w:type="dxa"/>
            <w:tcBorders>
              <w:top w:val="nil"/>
              <w:left w:val="nil"/>
              <w:bottom w:val="single" w:sz="4" w:space="0" w:color="auto"/>
              <w:right w:val="single" w:sz="4" w:space="0" w:color="auto"/>
            </w:tcBorders>
          </w:tcPr>
          <w:p w:rsidR="00861F3E" w:rsidRPr="000B352D"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422"/>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w:t>
            </w:r>
          </w:p>
        </w:tc>
        <w:tc>
          <w:tcPr>
            <w:tcW w:w="4394" w:type="dxa"/>
            <w:tcBorders>
              <w:top w:val="single" w:sz="4" w:space="0" w:color="auto"/>
              <w:left w:val="single" w:sz="4" w:space="0" w:color="auto"/>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 xml:space="preserve">Si transcurridos los plazos referidos en el </w:t>
            </w:r>
            <w:r w:rsidRPr="00DB40D4">
              <w:rPr>
                <w:rFonts w:eastAsia="Times New Roman" w:cstheme="minorHAnsi"/>
                <w:color w:val="000000" w:themeColor="text1"/>
                <w:sz w:val="20"/>
                <w:szCs w:val="20"/>
                <w:u w:val="single"/>
                <w:lang w:val="es-419" w:eastAsia="pt-BR"/>
              </w:rPr>
              <w:t>tercer y cuarto párrafos</w:t>
            </w:r>
            <w:r w:rsidRPr="00DB40D4">
              <w:rPr>
                <w:rFonts w:eastAsia="Times New Roman" w:cstheme="minorHAnsi"/>
                <w:color w:val="000000" w:themeColor="text1"/>
                <w:sz w:val="20"/>
                <w:szCs w:val="20"/>
                <w:lang w:val="es-419" w:eastAsia="pt-BR"/>
              </w:rPr>
              <w:t xml:space="preserve"> de este artículo, las Instituciones no entregan el mencionado dictamen en los términos señalados, el abono realizado previamente en términos del artículo anterior quedará firme y no podrá revertirse.</w:t>
            </w: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single" w:sz="4" w:space="0" w:color="auto"/>
              <w:left w:val="single" w:sz="4" w:space="0" w:color="auto"/>
              <w:bottom w:val="single" w:sz="4" w:space="0" w:color="auto"/>
              <w:right w:val="single" w:sz="4" w:space="0" w:color="auto"/>
            </w:tcBorders>
          </w:tcPr>
          <w:p w:rsidR="00861F3E" w:rsidRPr="001D0492"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26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p>
        </w:tc>
        <w:tc>
          <w:tcPr>
            <w:tcW w:w="4394" w:type="dxa"/>
            <w:tcBorders>
              <w:top w:val="single" w:sz="4" w:space="0" w:color="auto"/>
              <w:left w:val="nil"/>
              <w:bottom w:val="single" w:sz="4" w:space="0" w:color="auto"/>
              <w:right w:val="single" w:sz="4" w:space="0" w:color="auto"/>
            </w:tcBorders>
          </w:tcPr>
          <w:p w:rsidR="00861F3E" w:rsidRPr="00DB40D4" w:rsidRDefault="00861F3E" w:rsidP="001D0492">
            <w:pPr>
              <w:spacing w:after="0" w:line="240" w:lineRule="auto"/>
              <w:jc w:val="both"/>
              <w:rPr>
                <w:rFonts w:eastAsia="Times New Roman" w:cstheme="minorHAnsi"/>
                <w:bCs/>
                <w:color w:val="000000" w:themeColor="text1"/>
                <w:sz w:val="20"/>
                <w:szCs w:val="20"/>
                <w:u w:val="single"/>
                <w:lang w:val="es-419" w:eastAsia="pt-BR"/>
              </w:rPr>
            </w:pPr>
            <w:r w:rsidRPr="00DB40D4">
              <w:rPr>
                <w:rFonts w:eastAsia="Times New Roman" w:cstheme="minorHAnsi"/>
                <w:b/>
                <w:bCs/>
                <w:color w:val="000000" w:themeColor="text1"/>
                <w:sz w:val="20"/>
                <w:szCs w:val="20"/>
                <w:u w:val="single"/>
                <w:lang w:val="es-419" w:eastAsia="pt-BR"/>
              </w:rPr>
              <w:t xml:space="preserve">Artículo 19 Bis 5.- </w:t>
            </w:r>
            <w:r w:rsidRPr="00DB40D4">
              <w:rPr>
                <w:rFonts w:eastAsia="Times New Roman" w:cstheme="minorHAnsi"/>
                <w:bCs/>
                <w:color w:val="000000" w:themeColor="text1"/>
                <w:sz w:val="20"/>
                <w:szCs w:val="20"/>
                <w:u w:val="single"/>
                <w:lang w:val="es-419" w:eastAsia="pt-BR"/>
              </w:rPr>
              <w:t>Las Instituciones que pretendan celebrar el acuerdo interinstitucional a que se refieren los artículos 19 Bis 3 y 19 Bis 4, deberán obtener la autorización previa del Banco de México.</w:t>
            </w:r>
          </w:p>
          <w:p w:rsidR="00861F3E" w:rsidRPr="00DB40D4" w:rsidRDefault="00861F3E" w:rsidP="001D0492">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bCs/>
                <w:color w:val="000000" w:themeColor="text1"/>
                <w:sz w:val="20"/>
                <w:szCs w:val="20"/>
                <w:u w:val="single"/>
                <w:lang w:val="es-419" w:eastAsia="pt-BR"/>
              </w:rPr>
              <w:t>Para tal efecto, deberán presentar su solicitud a la Gerencia de Autorizaciones, Consultas y Control de Legalidad del Banco de México, de manera conjunta, o bien, a través del representante común que designen al efecto.</w:t>
            </w:r>
          </w:p>
        </w:tc>
        <w:tc>
          <w:tcPr>
            <w:tcW w:w="4248" w:type="dxa"/>
            <w:tcBorders>
              <w:top w:val="single" w:sz="4" w:space="0" w:color="auto"/>
              <w:left w:val="nil"/>
              <w:bottom w:val="single" w:sz="4" w:space="0" w:color="auto"/>
              <w:right w:val="single" w:sz="4" w:space="0" w:color="auto"/>
            </w:tcBorders>
          </w:tcPr>
          <w:p w:rsidR="00861F3E" w:rsidRPr="001D0492" w:rsidRDefault="00861F3E" w:rsidP="001D0492">
            <w:pPr>
              <w:spacing w:after="0" w:line="240" w:lineRule="auto"/>
              <w:jc w:val="both"/>
              <w:rPr>
                <w:rFonts w:eastAsia="Times New Roman" w:cstheme="minorHAnsi"/>
                <w:b/>
                <w:bCs/>
                <w:color w:val="00B050"/>
                <w:sz w:val="20"/>
                <w:szCs w:val="20"/>
                <w:u w:val="single"/>
                <w:lang w:val="es-419" w:eastAsia="pt-BR"/>
              </w:rPr>
            </w:pPr>
          </w:p>
        </w:tc>
      </w:tr>
      <w:tr w:rsidR="00861F3E" w:rsidRPr="00F03C43" w:rsidTr="00861F3E">
        <w:trPr>
          <w:trHeight w:val="1260"/>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b/>
                <w:bCs/>
                <w:color w:val="000000" w:themeColor="text1"/>
                <w:sz w:val="20"/>
                <w:szCs w:val="20"/>
                <w:lang w:val="es-419" w:eastAsia="pt-BR"/>
              </w:rPr>
              <w:t>Características adicionales de las cuentas del nivel 1 y de las tarjetas de débito asociadas a ellas</w:t>
            </w: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p>
        </w:tc>
        <w:tc>
          <w:tcPr>
            <w:tcW w:w="4248" w:type="dxa"/>
            <w:tcBorders>
              <w:top w:val="single" w:sz="4" w:space="0" w:color="auto"/>
              <w:left w:val="nil"/>
              <w:bottom w:val="single" w:sz="4" w:space="0" w:color="auto"/>
              <w:right w:val="single" w:sz="4" w:space="0" w:color="auto"/>
            </w:tcBorders>
          </w:tcPr>
          <w:p w:rsidR="00861F3E" w:rsidRPr="00F03C43" w:rsidRDefault="00861F3E" w:rsidP="00776493">
            <w:pPr>
              <w:spacing w:after="0" w:line="240" w:lineRule="auto"/>
              <w:jc w:val="both"/>
              <w:rPr>
                <w:rFonts w:eastAsia="Times New Roman" w:cstheme="minorHAnsi"/>
                <w:b/>
                <w:bCs/>
                <w:color w:val="000000"/>
                <w:sz w:val="20"/>
                <w:szCs w:val="20"/>
                <w:lang w:val="es-419" w:eastAsia="pt-BR"/>
              </w:rPr>
            </w:pPr>
          </w:p>
        </w:tc>
      </w:tr>
      <w:tr w:rsidR="00861F3E" w:rsidRPr="00F03C43" w:rsidTr="00861F3E">
        <w:trPr>
          <w:trHeight w:val="12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b/>
                <w:bCs/>
                <w:color w:val="000000" w:themeColor="text1"/>
                <w:sz w:val="20"/>
                <w:szCs w:val="20"/>
                <w:lang w:val="es-419" w:eastAsia="pt-BR"/>
              </w:rPr>
            </w:pPr>
            <w:r w:rsidRPr="00DB40D4">
              <w:rPr>
                <w:rFonts w:eastAsia="Times New Roman" w:cstheme="minorHAnsi"/>
                <w:b/>
                <w:bCs/>
                <w:color w:val="000000" w:themeColor="text1"/>
                <w:sz w:val="20"/>
                <w:szCs w:val="20"/>
                <w:lang w:val="es-419" w:eastAsia="pt-BR"/>
              </w:rPr>
              <w:t>Artículo 20.-</w:t>
            </w:r>
            <w:r w:rsidRPr="00DB40D4">
              <w:rPr>
                <w:rFonts w:eastAsia="Times New Roman" w:cstheme="minorHAnsi"/>
                <w:color w:val="000000" w:themeColor="text1"/>
                <w:sz w:val="20"/>
                <w:szCs w:val="20"/>
                <w:lang w:val="es-419" w:eastAsia="pt-BR"/>
              </w:rPr>
              <w:t xml:space="preserve"> Respecto de las tarjetas de débito asociadas a las cuentas del nivel 1, además de lo señalado en los artículos 18 y 19, las Instituciones deberán observar lo siguiente:</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w:t>
            </w:r>
          </w:p>
        </w:tc>
        <w:tc>
          <w:tcPr>
            <w:tcW w:w="4248" w:type="dxa"/>
            <w:tcBorders>
              <w:top w:val="nil"/>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I. a II.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w:t>
            </w:r>
          </w:p>
        </w:tc>
        <w:tc>
          <w:tcPr>
            <w:tcW w:w="4248" w:type="dxa"/>
            <w:tcBorders>
              <w:top w:val="nil"/>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eastAsia="pt-BR"/>
              </w:rPr>
            </w:pPr>
          </w:p>
        </w:tc>
      </w:tr>
      <w:tr w:rsidR="00861F3E" w:rsidRPr="00F03C43" w:rsidTr="00861F3E">
        <w:trPr>
          <w:trHeight w:val="300"/>
        </w:trPr>
        <w:tc>
          <w:tcPr>
            <w:tcW w:w="4106" w:type="dxa"/>
            <w:tcBorders>
              <w:top w:val="nil"/>
              <w:left w:val="single" w:sz="4" w:space="0" w:color="auto"/>
              <w:bottom w:val="single" w:sz="4" w:space="0" w:color="auto"/>
              <w:right w:val="single" w:sz="4" w:space="0" w:color="auto"/>
            </w:tcBorders>
            <w:shd w:val="clear" w:color="auto" w:fill="auto"/>
            <w:vAlign w:val="center"/>
            <w:hideMark/>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III. Uso</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eastAsia="pt-BR"/>
              </w:rPr>
            </w:pPr>
            <w:r w:rsidRPr="00DB40D4">
              <w:rPr>
                <w:rFonts w:eastAsia="Times New Roman" w:cstheme="minorHAnsi"/>
                <w:color w:val="000000" w:themeColor="text1"/>
                <w:sz w:val="20"/>
                <w:szCs w:val="20"/>
                <w:lang w:eastAsia="pt-BR"/>
              </w:rPr>
              <w:t>…</w:t>
            </w:r>
          </w:p>
        </w:tc>
        <w:tc>
          <w:tcPr>
            <w:tcW w:w="4248" w:type="dxa"/>
            <w:tcBorders>
              <w:top w:val="nil"/>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eastAsia="pt-BR"/>
              </w:rPr>
            </w:pPr>
          </w:p>
        </w:tc>
      </w:tr>
      <w:tr w:rsidR="00861F3E" w:rsidRPr="00F03C43" w:rsidTr="00861F3E">
        <w:trPr>
          <w:trHeight w:val="2715"/>
        </w:trPr>
        <w:tc>
          <w:tcPr>
            <w:tcW w:w="4106" w:type="dxa"/>
            <w:tcBorders>
              <w:top w:val="nil"/>
              <w:left w:val="single" w:sz="4" w:space="0" w:color="auto"/>
              <w:bottom w:val="single" w:sz="4" w:space="0" w:color="auto"/>
              <w:right w:val="single" w:sz="4" w:space="0" w:color="auto"/>
            </w:tcBorders>
            <w:shd w:val="clear" w:color="auto" w:fill="auto"/>
            <w:hideMark/>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Las tarjetas de débito referidas en el presente artículo solo podrán utilizarse en territorio nacional, por lo que no podrán usarse para disponer de efectivo ni efectuar pagos en el extranjero, así como tampoco para realizar transferencias electrónicas de fondos.</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Las tarjetas de débito referidas en el presente artículo solo podrán utilizarse en territorio nacional, por lo que no podrán usarse para disponer de efectivo ni efectuar pagos en el extranjero. Dichas tarjetas tampoco podrán utilizarse para realizar transferencias electrónicas de fondos nacionales o internacionales. Sin perjuicio de lo anterior, las referidas tarjetas podrán utilizarse en los términos previstos en el artículo 15 de las presentes Disposiciones.</w:t>
            </w: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248" w:type="dxa"/>
            <w:tcBorders>
              <w:top w:val="nil"/>
              <w:left w:val="nil"/>
              <w:bottom w:val="single" w:sz="4" w:space="0" w:color="auto"/>
              <w:right w:val="single" w:sz="4" w:space="0" w:color="auto"/>
            </w:tcBorders>
          </w:tcPr>
          <w:p w:rsidR="00861F3E" w:rsidRPr="001D0492"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1424"/>
        </w:trPr>
        <w:tc>
          <w:tcPr>
            <w:tcW w:w="4106" w:type="dxa"/>
            <w:tcBorders>
              <w:top w:val="nil"/>
              <w:left w:val="single" w:sz="4" w:space="0" w:color="auto"/>
              <w:bottom w:val="single" w:sz="4" w:space="0" w:color="auto"/>
              <w:right w:val="single" w:sz="4" w:space="0" w:color="auto"/>
            </w:tcBorders>
            <w:shd w:val="clear" w:color="auto" w:fill="auto"/>
          </w:tcPr>
          <w:p w:rsidR="00861F3E" w:rsidRPr="00DB40D4" w:rsidRDefault="00861F3E" w:rsidP="001D0492">
            <w:pPr>
              <w:spacing w:after="0" w:line="240" w:lineRule="auto"/>
              <w:jc w:val="center"/>
              <w:rPr>
                <w:rFonts w:eastAsia="Times New Roman" w:cstheme="minorHAnsi"/>
                <w:b/>
                <w:color w:val="000000" w:themeColor="text1"/>
                <w:sz w:val="20"/>
                <w:szCs w:val="20"/>
                <w:lang w:val="es-419" w:eastAsia="pt-BR"/>
              </w:rPr>
            </w:pPr>
            <w:r w:rsidRPr="00DB40D4">
              <w:rPr>
                <w:rFonts w:eastAsia="Times New Roman" w:cstheme="minorHAnsi"/>
                <w:b/>
                <w:color w:val="000000" w:themeColor="text1"/>
                <w:sz w:val="20"/>
                <w:szCs w:val="20"/>
                <w:lang w:val="es-419" w:eastAsia="pt-BR"/>
              </w:rPr>
              <w:t>CAPÍTULO III SERVICIOS</w:t>
            </w:r>
          </w:p>
          <w:p w:rsidR="00861F3E" w:rsidRPr="00DB40D4" w:rsidRDefault="00861F3E" w:rsidP="001D0492">
            <w:pPr>
              <w:spacing w:after="0" w:line="240" w:lineRule="auto"/>
              <w:jc w:val="center"/>
              <w:rPr>
                <w:rFonts w:eastAsia="Times New Roman" w:cstheme="minorHAnsi"/>
                <w:b/>
                <w:color w:val="000000" w:themeColor="text1"/>
                <w:sz w:val="20"/>
                <w:szCs w:val="20"/>
                <w:lang w:val="es-419" w:eastAsia="pt-BR"/>
              </w:rPr>
            </w:pPr>
            <w:r w:rsidRPr="00DB40D4">
              <w:rPr>
                <w:rFonts w:eastAsia="Times New Roman" w:cstheme="minorHAnsi"/>
                <w:b/>
                <w:color w:val="000000" w:themeColor="text1"/>
                <w:sz w:val="20"/>
                <w:szCs w:val="20"/>
                <w:lang w:val="es-419" w:eastAsia="pt-BR"/>
              </w:rPr>
              <w:t>Sección III Otros servicios</w:t>
            </w:r>
          </w:p>
          <w:p w:rsidR="00861F3E" w:rsidRPr="00DB40D4" w:rsidRDefault="00861F3E" w:rsidP="001D0492">
            <w:pPr>
              <w:spacing w:after="0" w:line="240" w:lineRule="auto"/>
              <w:jc w:val="center"/>
              <w:rPr>
                <w:rFonts w:eastAsia="Times New Roman" w:cstheme="minorHAnsi"/>
                <w:b/>
                <w:color w:val="000000" w:themeColor="text1"/>
                <w:sz w:val="20"/>
                <w:szCs w:val="20"/>
                <w:lang w:val="es-419" w:eastAsia="pt-BR"/>
              </w:rPr>
            </w:pPr>
            <w:r w:rsidRPr="00DB40D4">
              <w:rPr>
                <w:rFonts w:eastAsia="Times New Roman" w:cstheme="minorHAnsi"/>
                <w:b/>
                <w:color w:val="000000" w:themeColor="text1"/>
                <w:sz w:val="20"/>
                <w:szCs w:val="20"/>
                <w:lang w:val="es-419" w:eastAsia="pt-BR"/>
              </w:rPr>
              <w:t>…</w:t>
            </w:r>
          </w:p>
          <w:p w:rsidR="00861F3E" w:rsidRPr="00DB40D4" w:rsidRDefault="00861F3E" w:rsidP="001D0492">
            <w:pPr>
              <w:spacing w:after="0" w:line="240" w:lineRule="auto"/>
              <w:jc w:val="center"/>
              <w:rPr>
                <w:rFonts w:eastAsia="Times New Roman" w:cstheme="minorHAnsi"/>
                <w:color w:val="000000" w:themeColor="text1"/>
                <w:sz w:val="20"/>
                <w:szCs w:val="20"/>
                <w:lang w:val="es-419" w:eastAsia="pt-BR"/>
              </w:rPr>
            </w:pPr>
            <w:r w:rsidRPr="00DB40D4">
              <w:rPr>
                <w:rFonts w:eastAsia="Times New Roman" w:cstheme="minorHAnsi"/>
                <w:b/>
                <w:color w:val="000000" w:themeColor="text1"/>
                <w:sz w:val="20"/>
                <w:szCs w:val="20"/>
                <w:lang w:val="es-419" w:eastAsia="pt-BR"/>
              </w:rPr>
              <w:t>Artículos 82 a 86 Bis. …</w:t>
            </w:r>
          </w:p>
        </w:tc>
        <w:tc>
          <w:tcPr>
            <w:tcW w:w="4394" w:type="dxa"/>
            <w:tcBorders>
              <w:top w:val="nil"/>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lang w:val="es-419" w:eastAsia="pt-BR"/>
              </w:rPr>
              <w:t>…</w:t>
            </w:r>
          </w:p>
        </w:tc>
        <w:tc>
          <w:tcPr>
            <w:tcW w:w="4248" w:type="dxa"/>
            <w:tcBorders>
              <w:top w:val="nil"/>
              <w:left w:val="nil"/>
              <w:bottom w:val="single" w:sz="4" w:space="0" w:color="auto"/>
              <w:right w:val="single" w:sz="4" w:space="0" w:color="auto"/>
            </w:tcBorders>
          </w:tcPr>
          <w:p w:rsidR="00861F3E" w:rsidRDefault="00861F3E" w:rsidP="00776493">
            <w:pPr>
              <w:spacing w:after="0" w:line="240" w:lineRule="auto"/>
              <w:jc w:val="both"/>
              <w:rPr>
                <w:rFonts w:eastAsia="Times New Roman" w:cstheme="minorHAnsi"/>
                <w:color w:val="000000"/>
                <w:sz w:val="20"/>
                <w:szCs w:val="20"/>
                <w:lang w:val="es-419" w:eastAsia="pt-BR"/>
              </w:rPr>
            </w:pPr>
          </w:p>
        </w:tc>
      </w:tr>
      <w:tr w:rsidR="00861F3E" w:rsidRPr="00F03C43" w:rsidTr="00861F3E">
        <w:trPr>
          <w:trHeight w:val="2715"/>
        </w:trPr>
        <w:tc>
          <w:tcPr>
            <w:tcW w:w="4106" w:type="dxa"/>
            <w:tcBorders>
              <w:top w:val="nil"/>
              <w:left w:val="single" w:sz="4" w:space="0" w:color="auto"/>
              <w:bottom w:val="single" w:sz="4" w:space="0" w:color="auto"/>
              <w:right w:val="single" w:sz="4" w:space="0" w:color="auto"/>
            </w:tcBorders>
            <w:shd w:val="clear" w:color="auto" w:fill="auto"/>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nil"/>
              <w:left w:val="nil"/>
              <w:bottom w:val="single" w:sz="4" w:space="0" w:color="auto"/>
              <w:right w:val="single" w:sz="4" w:space="0" w:color="auto"/>
            </w:tcBorders>
          </w:tcPr>
          <w:p w:rsidR="00861F3E" w:rsidRPr="00DB40D4" w:rsidRDefault="00861F3E" w:rsidP="001D0492">
            <w:pPr>
              <w:spacing w:after="0" w:line="240" w:lineRule="auto"/>
              <w:jc w:val="both"/>
              <w:rPr>
                <w:rFonts w:eastAsia="Times New Roman" w:cstheme="minorHAnsi"/>
                <w:b/>
                <w:color w:val="000000" w:themeColor="text1"/>
                <w:sz w:val="20"/>
                <w:szCs w:val="20"/>
                <w:lang w:val="es-419" w:eastAsia="pt-BR"/>
              </w:rPr>
            </w:pPr>
            <w:r w:rsidRPr="00DB40D4">
              <w:rPr>
                <w:rFonts w:eastAsia="Times New Roman" w:cstheme="minorHAnsi"/>
                <w:b/>
                <w:color w:val="000000" w:themeColor="text1"/>
                <w:sz w:val="20"/>
                <w:szCs w:val="20"/>
                <w:lang w:val="es-419" w:eastAsia="pt-BR"/>
              </w:rPr>
              <w:t>Servicios de aceptación de pagos con tarjeta.</w:t>
            </w:r>
          </w:p>
          <w:p w:rsidR="00861F3E" w:rsidRPr="00DB40D4" w:rsidRDefault="00861F3E" w:rsidP="001D0492">
            <w:pPr>
              <w:spacing w:after="0" w:line="240" w:lineRule="auto"/>
              <w:jc w:val="both"/>
              <w:rPr>
                <w:rFonts w:eastAsia="Times New Roman" w:cstheme="minorHAnsi"/>
                <w:color w:val="000000" w:themeColor="text1"/>
                <w:sz w:val="20"/>
                <w:szCs w:val="20"/>
                <w:lang w:val="es-419" w:eastAsia="pt-BR"/>
              </w:rPr>
            </w:pPr>
          </w:p>
          <w:p w:rsidR="00861F3E" w:rsidRPr="00DB40D4" w:rsidRDefault="00861F3E" w:rsidP="001D0492">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Artículo 86 Ter. La Institución que preste el servicio de aceptación de operaciones de pago con tarjetas de débito y crédito a favor de receptores de pagos deberá observar los estándares de seguridad y procesamiento establecidos al respecto por la empresa constituida conforme a la legislación de los Estados Unidos de América, denominada EMVCo, LLC o, en su caso, aquellos otros que el Banco de México determine como equivalentes que garantizan la transmisión segura de la información en aquellos supuestos en que la operación con tarjeta implique obtener la información de esta directamente de un circuito integrado o chip en la misma tarjeta.</w:t>
            </w:r>
          </w:p>
          <w:p w:rsidR="00861F3E" w:rsidRPr="00DB40D4" w:rsidRDefault="00861F3E" w:rsidP="001D0492">
            <w:pPr>
              <w:spacing w:after="0" w:line="240" w:lineRule="auto"/>
              <w:jc w:val="both"/>
              <w:rPr>
                <w:rFonts w:eastAsia="Times New Roman" w:cstheme="minorHAnsi"/>
                <w:color w:val="000000" w:themeColor="text1"/>
                <w:sz w:val="20"/>
                <w:szCs w:val="20"/>
                <w:u w:val="single"/>
                <w:lang w:val="es-419" w:eastAsia="pt-BR"/>
              </w:rPr>
            </w:pPr>
          </w:p>
          <w:p w:rsidR="00861F3E" w:rsidRPr="00DB40D4" w:rsidRDefault="00861F3E" w:rsidP="001D0492">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En el evento en que la Institución pretenda utilizar cualquier estándar distinto al mencionado en el párrafo anterior, deberá obtener previamente la autorización del Banco de México, para lo cual deberá presentar su solicitud respectiva a la Gerencia de Autorizaciones, Consultas y Control de Legalidad.</w:t>
            </w:r>
          </w:p>
        </w:tc>
        <w:tc>
          <w:tcPr>
            <w:tcW w:w="4248" w:type="dxa"/>
            <w:tcBorders>
              <w:top w:val="nil"/>
              <w:left w:val="nil"/>
              <w:bottom w:val="single" w:sz="4" w:space="0" w:color="auto"/>
              <w:right w:val="single" w:sz="4" w:space="0" w:color="auto"/>
            </w:tcBorders>
          </w:tcPr>
          <w:p w:rsidR="00861F3E" w:rsidRPr="001D0492" w:rsidRDefault="00861F3E" w:rsidP="001D0492">
            <w:pPr>
              <w:spacing w:after="0" w:line="240" w:lineRule="auto"/>
              <w:jc w:val="both"/>
              <w:rPr>
                <w:rFonts w:eastAsia="Times New Roman" w:cstheme="minorHAnsi"/>
                <w:b/>
                <w:color w:val="000000"/>
                <w:sz w:val="20"/>
                <w:szCs w:val="20"/>
                <w:lang w:val="es-419" w:eastAsia="pt-BR"/>
              </w:rPr>
            </w:pPr>
          </w:p>
        </w:tc>
      </w:tr>
      <w:tr w:rsidR="00861F3E" w:rsidRPr="00F03C43" w:rsidTr="00861F3E">
        <w:trPr>
          <w:trHeight w:val="1405"/>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Adicionalmente, la Institución que, como parte del servicio a que se refiere este artículo, haya generado las instrucciones de pago referidas en el último párrafo del artículo 19 Bis 3 anterior podrá requerir al receptor de pagos la devolución de los recursos relacionados con el cargo, siempre y cuando haya convenido con este en proporcionarle los elementos necesarios para solicitar la utilización de factores de autenticación en el procesamiento de operaciones realizadas con una tarjeta de débito con motivo de las cuales se realicen cargos a la Cuenta conforme a lo establecido en el Artículo 19 Bis, fracción I, y dicho receptor de pagos no haya solicitado la utilización de factores de autenticación conforme a lo establecido en el Artículo 19 Bis, fracción I, en el procesamiento de la operación relacionada con el cargo a la Cuenta que haya sido objeto del aviso de que se trate.</w:t>
            </w:r>
          </w:p>
        </w:tc>
        <w:tc>
          <w:tcPr>
            <w:tcW w:w="4248" w:type="dxa"/>
            <w:tcBorders>
              <w:top w:val="single" w:sz="4" w:space="0" w:color="auto"/>
              <w:left w:val="nil"/>
              <w:bottom w:val="single" w:sz="4" w:space="0" w:color="auto"/>
              <w:right w:val="single" w:sz="4" w:space="0" w:color="auto"/>
            </w:tcBorders>
          </w:tcPr>
          <w:p w:rsidR="00861F3E" w:rsidRPr="001D0492" w:rsidRDefault="00861F3E" w:rsidP="00776493">
            <w:pPr>
              <w:spacing w:after="0" w:line="240" w:lineRule="auto"/>
              <w:jc w:val="both"/>
              <w:rPr>
                <w:rFonts w:eastAsia="Times New Roman" w:cstheme="minorHAnsi"/>
                <w:color w:val="00B050"/>
                <w:sz w:val="20"/>
                <w:szCs w:val="20"/>
                <w:u w:val="single"/>
                <w:lang w:val="es-419" w:eastAsia="pt-BR"/>
              </w:rPr>
            </w:pPr>
          </w:p>
        </w:tc>
      </w:tr>
      <w:tr w:rsidR="00861F3E" w:rsidRPr="00F03C43" w:rsidTr="00861F3E">
        <w:trPr>
          <w:trHeight w:val="1405"/>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Asimismo, en caso de que, en el supuesto indicado en el artículo 19 Bis 4 anterior, la Institución obtenga de aquella otra Institución los recursos correspondientes a la devolución prevista en ese mismo artículo, deberá abonar dichos recursos en la Cuenta de Depósito que lleve al receptor de pagos de que se trate, a más tardar el Día Hábil Bancario siguiente a aquel en que haya recibido los recursos por parte de la Institución emisora.</w:t>
            </w:r>
          </w:p>
        </w:tc>
        <w:tc>
          <w:tcPr>
            <w:tcW w:w="4248" w:type="dxa"/>
            <w:tcBorders>
              <w:top w:val="single" w:sz="4" w:space="0" w:color="auto"/>
              <w:left w:val="nil"/>
              <w:bottom w:val="single" w:sz="4" w:space="0" w:color="auto"/>
              <w:right w:val="single" w:sz="4" w:space="0" w:color="auto"/>
            </w:tcBorders>
          </w:tcPr>
          <w:p w:rsidR="00861F3E" w:rsidRPr="001D0492" w:rsidRDefault="00861F3E" w:rsidP="00776493">
            <w:pPr>
              <w:spacing w:after="0" w:line="240" w:lineRule="auto"/>
              <w:jc w:val="both"/>
              <w:rPr>
                <w:rFonts w:eastAsia="Times New Roman" w:cstheme="minorHAnsi"/>
                <w:color w:val="00B050"/>
                <w:sz w:val="20"/>
                <w:szCs w:val="20"/>
                <w:u w:val="single"/>
                <w:lang w:val="es-419" w:eastAsia="pt-BR"/>
              </w:rPr>
            </w:pPr>
          </w:p>
        </w:tc>
      </w:tr>
      <w:tr w:rsidR="00861F3E" w:rsidRPr="00F03C43" w:rsidTr="00861F3E">
        <w:trPr>
          <w:trHeight w:val="1405"/>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r w:rsidRPr="00DB40D4">
              <w:rPr>
                <w:rFonts w:eastAsia="Times New Roman" w:cstheme="minorHAnsi"/>
                <w:color w:val="000000" w:themeColor="text1"/>
                <w:sz w:val="20"/>
                <w:szCs w:val="20"/>
                <w:u w:val="single"/>
                <w:lang w:val="es-419" w:eastAsia="pt-BR"/>
              </w:rPr>
              <w:t>PRIMERO.-</w:t>
            </w:r>
            <w:r w:rsidRPr="00DB40D4">
              <w:rPr>
                <w:rFonts w:eastAsia="Times New Roman" w:cstheme="minorHAnsi"/>
                <w:color w:val="000000" w:themeColor="text1"/>
                <w:sz w:val="20"/>
                <w:szCs w:val="20"/>
                <w:lang w:val="es-419" w:eastAsia="pt-BR"/>
              </w:rPr>
              <w:t xml:space="preserve"> La presente Circular entrará en vigor el (6 meses posteriores a la publicación en el Diario Oficial de la Federación), </w:t>
            </w:r>
            <w:r w:rsidRPr="00DB40D4">
              <w:rPr>
                <w:rFonts w:eastAsia="Times New Roman" w:cstheme="minorHAnsi"/>
                <w:color w:val="000000" w:themeColor="text1"/>
                <w:sz w:val="20"/>
                <w:szCs w:val="20"/>
                <w:u w:val="single"/>
                <w:lang w:val="es-419" w:eastAsia="pt-BR"/>
              </w:rPr>
              <w:t>sin perjuicio de lo señalado en los transitorios siguientes.</w:t>
            </w:r>
          </w:p>
        </w:tc>
        <w:tc>
          <w:tcPr>
            <w:tcW w:w="4248" w:type="dxa"/>
            <w:tcBorders>
              <w:top w:val="single" w:sz="4" w:space="0" w:color="auto"/>
              <w:left w:val="nil"/>
              <w:bottom w:val="single" w:sz="4" w:space="0" w:color="auto"/>
              <w:right w:val="single" w:sz="4" w:space="0" w:color="auto"/>
            </w:tcBorders>
          </w:tcPr>
          <w:p w:rsidR="00861F3E" w:rsidRPr="001D0492" w:rsidRDefault="00DB40D4" w:rsidP="00776493">
            <w:pPr>
              <w:spacing w:after="0" w:line="240" w:lineRule="auto"/>
              <w:jc w:val="both"/>
              <w:rPr>
                <w:rFonts w:eastAsia="Times New Roman" w:cstheme="minorHAnsi"/>
                <w:color w:val="00B050"/>
                <w:sz w:val="20"/>
                <w:szCs w:val="20"/>
                <w:u w:val="single"/>
                <w:lang w:val="es-419" w:eastAsia="pt-BR"/>
              </w:rPr>
            </w:pPr>
            <w:r w:rsidRPr="00774E43">
              <w:rPr>
                <w:rFonts w:cstheme="minorHAnsi"/>
                <w:color w:val="002060"/>
                <w:sz w:val="20"/>
                <w:szCs w:val="20"/>
                <w:lang w:val="es-419"/>
              </w:rPr>
              <w:t xml:space="preserve">Se solicita un plazo de al menos 18 meses para poder dar cumplimiento.  </w:t>
            </w:r>
          </w:p>
        </w:tc>
      </w:tr>
      <w:tr w:rsidR="00861F3E" w:rsidRPr="00F03C43" w:rsidTr="00DB40D4">
        <w:trPr>
          <w:trHeight w:val="858"/>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SEGUNDO.- Lo dispuesto en el artículo 19 Bis 3, respecto a la obligación de las instituciones que reciban alguno de los avisos a que se refiere el primer párrafo del artículo 19 Bis 1, de abonar en la respectiva Cuenta de Depósito, a más tardar el segundo Día Hábil Bancario siguiente a la recepción de dicho aviso, el monto equivalente a aquellos cargos realizados en esa Cuenta que sean objeto del aviso de que se trate, entrará en vigor a los doce meses siguientes a la publicación de la presente Circular en el Diario Oficial de la Federación. Hasta en tanto, las instituciones estarán obligadas a realizar el respectivo abono a más tardar al cuarto Día Hábil Bancario siguiente a la recepción del mencionado aviso.</w:t>
            </w:r>
          </w:p>
        </w:tc>
        <w:tc>
          <w:tcPr>
            <w:tcW w:w="4248" w:type="dxa"/>
            <w:tcBorders>
              <w:top w:val="single" w:sz="4" w:space="0" w:color="auto"/>
              <w:left w:val="nil"/>
              <w:bottom w:val="single" w:sz="4" w:space="0" w:color="auto"/>
              <w:right w:val="single" w:sz="4" w:space="0" w:color="auto"/>
            </w:tcBorders>
          </w:tcPr>
          <w:p w:rsidR="00861F3E" w:rsidRPr="001D0492" w:rsidRDefault="00861F3E" w:rsidP="00776493">
            <w:pPr>
              <w:spacing w:after="0" w:line="240" w:lineRule="auto"/>
              <w:jc w:val="both"/>
              <w:rPr>
                <w:rFonts w:eastAsia="Times New Roman" w:cstheme="minorHAnsi"/>
                <w:color w:val="00B050"/>
                <w:sz w:val="20"/>
                <w:szCs w:val="20"/>
                <w:u w:val="single"/>
                <w:lang w:val="es-419" w:eastAsia="pt-BR"/>
              </w:rPr>
            </w:pPr>
          </w:p>
        </w:tc>
      </w:tr>
      <w:tr w:rsidR="00861F3E" w:rsidRPr="00F03C43" w:rsidTr="00861F3E">
        <w:trPr>
          <w:trHeight w:val="1405"/>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tcPr>
          <w:p w:rsidR="00861F3E" w:rsidRPr="00DB40D4" w:rsidRDefault="00861F3E" w:rsidP="00776493">
            <w:pPr>
              <w:spacing w:after="0" w:line="240" w:lineRule="auto"/>
              <w:jc w:val="both"/>
              <w:rPr>
                <w:rFonts w:eastAsia="Times New Roman" w:cstheme="minorHAnsi"/>
                <w:color w:val="000000" w:themeColor="text1"/>
                <w:sz w:val="20"/>
                <w:szCs w:val="20"/>
                <w:lang w:val="es-419" w:eastAsia="pt-BR"/>
              </w:rPr>
            </w:pPr>
          </w:p>
        </w:tc>
        <w:tc>
          <w:tcPr>
            <w:tcW w:w="4394" w:type="dxa"/>
            <w:tcBorders>
              <w:top w:val="single" w:sz="4" w:space="0" w:color="auto"/>
              <w:left w:val="nil"/>
              <w:bottom w:val="single" w:sz="4" w:space="0" w:color="auto"/>
              <w:right w:val="single" w:sz="4" w:space="0" w:color="auto"/>
            </w:tcBorders>
          </w:tcPr>
          <w:p w:rsidR="00861F3E" w:rsidRPr="00DB40D4" w:rsidRDefault="00861F3E" w:rsidP="00776493">
            <w:pPr>
              <w:spacing w:after="0" w:line="240" w:lineRule="auto"/>
              <w:jc w:val="both"/>
              <w:rPr>
                <w:rFonts w:eastAsia="Times New Roman" w:cstheme="minorHAnsi"/>
                <w:color w:val="000000" w:themeColor="text1"/>
                <w:sz w:val="20"/>
                <w:szCs w:val="20"/>
                <w:u w:val="single"/>
                <w:lang w:val="es-419" w:eastAsia="pt-BR"/>
              </w:rPr>
            </w:pPr>
            <w:r w:rsidRPr="00DB40D4">
              <w:rPr>
                <w:rFonts w:eastAsia="Times New Roman" w:cstheme="minorHAnsi"/>
                <w:color w:val="000000" w:themeColor="text1"/>
                <w:sz w:val="20"/>
                <w:szCs w:val="20"/>
                <w:u w:val="single"/>
                <w:lang w:val="es-419" w:eastAsia="pt-BR"/>
              </w:rPr>
              <w:t xml:space="preserve">TERCERO.- Lo dispuesto en el artículo 19 Bis 3, respecta a la obligación de las instituciones que hayan procesado algún cargo a la Cuenta que haya sido objeto del aviso a que se refiere el artículo 19 Bis 1, de llevar a cabo la devolución del monto de que se trate a la institución que mantenga la Cuenta a más tardar el segundo Día Hábil Bancario siguiente a aquel en que así lo requiera la institución que mantenga la Cuenta, entrará en vigor a los doce meses siguientes </w:t>
            </w:r>
            <w:r w:rsidRPr="00DB40D4">
              <w:rPr>
                <w:rFonts w:eastAsia="Times New Roman" w:cstheme="minorHAnsi"/>
                <w:color w:val="000000" w:themeColor="text1"/>
                <w:sz w:val="20"/>
                <w:szCs w:val="20"/>
                <w:u w:val="single"/>
                <w:lang w:val="es-419" w:eastAsia="pt-BR"/>
              </w:rPr>
              <w:lastRenderedPageBreak/>
              <w:t>a la publicación de la presente Circular en el Diario Oficial de la Federación. Hasta en tanto, las instituciones estarán obligadas a realizar la referida devolución a más tardar al cuarto Día Hábil Bancario siguiente a la recepción del mencionado aviso.</w:t>
            </w:r>
          </w:p>
        </w:tc>
        <w:tc>
          <w:tcPr>
            <w:tcW w:w="4248" w:type="dxa"/>
            <w:tcBorders>
              <w:top w:val="single" w:sz="4" w:space="0" w:color="auto"/>
              <w:left w:val="nil"/>
              <w:bottom w:val="single" w:sz="4" w:space="0" w:color="auto"/>
              <w:right w:val="single" w:sz="4" w:space="0" w:color="auto"/>
            </w:tcBorders>
          </w:tcPr>
          <w:p w:rsidR="00861F3E" w:rsidRPr="001D0492" w:rsidRDefault="00861F3E" w:rsidP="00776493">
            <w:pPr>
              <w:spacing w:after="0" w:line="240" w:lineRule="auto"/>
              <w:jc w:val="both"/>
              <w:rPr>
                <w:rFonts w:eastAsia="Times New Roman" w:cstheme="minorHAnsi"/>
                <w:color w:val="00B050"/>
                <w:sz w:val="20"/>
                <w:szCs w:val="20"/>
                <w:u w:val="single"/>
                <w:lang w:val="es-419" w:eastAsia="pt-BR"/>
              </w:rPr>
            </w:pPr>
          </w:p>
        </w:tc>
      </w:tr>
    </w:tbl>
    <w:p w:rsidR="00B25DDC" w:rsidRDefault="00B25DDC" w:rsidP="001B28D0">
      <w:pPr>
        <w:ind w:left="-709" w:right="-850"/>
        <w:jc w:val="center"/>
        <w:rPr>
          <w:rFonts w:ascii="Arial" w:hAnsi="Arial" w:cs="Arial"/>
          <w:b/>
          <w:bCs/>
          <w:sz w:val="20"/>
          <w:szCs w:val="20"/>
        </w:rPr>
      </w:pPr>
    </w:p>
    <w:p w:rsidR="00DB40D4" w:rsidRDefault="00DB40D4" w:rsidP="00DB40D4">
      <w:pPr>
        <w:autoSpaceDE w:val="0"/>
        <w:autoSpaceDN w:val="0"/>
        <w:adjustRightInd w:val="0"/>
        <w:jc w:val="both"/>
        <w:rPr>
          <w:rFonts w:ascii="Arial" w:hAnsi="Arial" w:cs="Arial"/>
          <w:color w:val="000000"/>
          <w:sz w:val="19"/>
          <w:szCs w:val="19"/>
        </w:rPr>
      </w:pPr>
      <w:r>
        <w:rPr>
          <w:rFonts w:ascii="Arial" w:hAnsi="Arial" w:cs="Arial"/>
          <w:color w:val="000000"/>
          <w:sz w:val="19"/>
          <w:szCs w:val="19"/>
        </w:rPr>
        <w:t>Por lo antes expuesto, a ese Banco Central, atentamente solicito:</w:t>
      </w:r>
    </w:p>
    <w:p w:rsidR="00DB40D4" w:rsidRDefault="00DB40D4" w:rsidP="00DB40D4">
      <w:pPr>
        <w:autoSpaceDE w:val="0"/>
        <w:autoSpaceDN w:val="0"/>
        <w:adjustRightInd w:val="0"/>
        <w:jc w:val="both"/>
        <w:rPr>
          <w:rFonts w:ascii="Arial" w:hAnsi="Arial" w:cs="Arial"/>
          <w:sz w:val="19"/>
          <w:szCs w:val="19"/>
        </w:rPr>
      </w:pPr>
      <w:r>
        <w:rPr>
          <w:rFonts w:ascii="Arial" w:hAnsi="Arial" w:cs="Arial"/>
          <w:b/>
          <w:color w:val="000000"/>
          <w:sz w:val="19"/>
          <w:szCs w:val="19"/>
        </w:rPr>
        <w:t>ÚNICO.-</w:t>
      </w:r>
      <w:r>
        <w:rPr>
          <w:rFonts w:ascii="Arial" w:hAnsi="Arial" w:cs="Arial"/>
          <w:color w:val="000000"/>
          <w:sz w:val="19"/>
          <w:szCs w:val="19"/>
        </w:rPr>
        <w:t xml:space="preserve"> Tener por presentados los presentes comentarios y dudas arriba señalados en relación con las Disposiciones en comento.</w:t>
      </w:r>
    </w:p>
    <w:p w:rsidR="00DB40D4" w:rsidRDefault="00DB40D4" w:rsidP="00DB40D4">
      <w:pPr>
        <w:jc w:val="center"/>
        <w:rPr>
          <w:rFonts w:ascii="Arial" w:hAnsi="Arial" w:cs="Arial"/>
          <w:color w:val="000000"/>
          <w:sz w:val="19"/>
          <w:szCs w:val="19"/>
        </w:rPr>
      </w:pPr>
      <w:bookmarkStart w:id="0" w:name="_GoBack"/>
      <w:bookmarkEnd w:id="0"/>
    </w:p>
    <w:p w:rsidR="00DB40D4" w:rsidRDefault="00DB40D4" w:rsidP="00DB40D4">
      <w:pPr>
        <w:jc w:val="center"/>
        <w:rPr>
          <w:rFonts w:ascii="Arial" w:hAnsi="Arial" w:cs="Arial"/>
          <w:color w:val="000000"/>
          <w:sz w:val="19"/>
          <w:szCs w:val="19"/>
        </w:rPr>
      </w:pPr>
      <w:r>
        <w:rPr>
          <w:rFonts w:ascii="Arial" w:hAnsi="Arial" w:cs="Arial"/>
          <w:color w:val="000000"/>
          <w:sz w:val="19"/>
          <w:szCs w:val="19"/>
        </w:rPr>
        <w:t>Atentamente,</w:t>
      </w:r>
    </w:p>
    <w:p w:rsidR="00DB40D4" w:rsidRDefault="00DB40D4" w:rsidP="00DB40D4">
      <w:pPr>
        <w:jc w:val="center"/>
        <w:rPr>
          <w:rFonts w:ascii="Arial" w:hAnsi="Arial" w:cs="Arial"/>
          <w:sz w:val="19"/>
          <w:szCs w:val="19"/>
        </w:rPr>
      </w:pPr>
    </w:p>
    <w:p w:rsidR="00DB40D4" w:rsidRDefault="00DB40D4" w:rsidP="00DB40D4">
      <w:pPr>
        <w:spacing w:line="240" w:lineRule="auto"/>
        <w:jc w:val="center"/>
        <w:rPr>
          <w:rFonts w:ascii="Arial" w:hAnsi="Arial" w:cs="Arial"/>
          <w:sz w:val="19"/>
          <w:szCs w:val="19"/>
        </w:rPr>
      </w:pPr>
      <w:r>
        <w:rPr>
          <w:rFonts w:ascii="Arial" w:hAnsi="Arial" w:cs="Arial"/>
          <w:sz w:val="19"/>
          <w:szCs w:val="19"/>
        </w:rPr>
        <w:t>HSBC México, S.A., Institución de Banca Múltiple</w:t>
      </w:r>
    </w:p>
    <w:p w:rsidR="00DB40D4" w:rsidRDefault="00DB40D4" w:rsidP="00DB40D4">
      <w:pPr>
        <w:spacing w:line="240" w:lineRule="auto"/>
        <w:jc w:val="center"/>
        <w:rPr>
          <w:rFonts w:ascii="Arial" w:hAnsi="Arial" w:cs="Arial"/>
          <w:sz w:val="12"/>
          <w:szCs w:val="14"/>
        </w:rPr>
      </w:pPr>
      <w:r>
        <w:rPr>
          <w:rFonts w:ascii="Arial" w:hAnsi="Arial" w:cs="Arial"/>
          <w:sz w:val="19"/>
          <w:szCs w:val="19"/>
        </w:rPr>
        <w:t>Grupo Financiero HSBC</w:t>
      </w:r>
    </w:p>
    <w:p w:rsidR="00D16BB4" w:rsidRDefault="00D16BB4" w:rsidP="00DA5E78">
      <w:pPr>
        <w:jc w:val="both"/>
        <w:rPr>
          <w:rFonts w:ascii="Arial" w:hAnsi="Arial" w:cs="Arial"/>
          <w:sz w:val="20"/>
          <w:szCs w:val="20"/>
        </w:rPr>
      </w:pPr>
    </w:p>
    <w:p w:rsidR="003A47F0" w:rsidRDefault="003A47F0" w:rsidP="00DA5E78">
      <w:pPr>
        <w:jc w:val="both"/>
        <w:rPr>
          <w:rFonts w:ascii="Arial" w:hAnsi="Arial" w:cs="Arial"/>
          <w:sz w:val="20"/>
          <w:szCs w:val="20"/>
        </w:rPr>
      </w:pPr>
    </w:p>
    <w:sectPr w:rsidR="003A47F0" w:rsidSect="001C4609">
      <w:headerReference w:type="even" r:id="rId7"/>
      <w:headerReference w:type="default" r:id="rId8"/>
      <w:footerReference w:type="even" r:id="rId9"/>
      <w:footerReference w:type="default" r:id="rId10"/>
      <w:headerReference w:type="first" r:id="rId11"/>
      <w:footerReference w:type="first" r:id="rId12"/>
      <w:pgSz w:w="15840" w:h="12240" w:orient="landscape"/>
      <w:pgMar w:top="1701" w:right="1665" w:bottom="56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226A" w:rsidRDefault="00A1226A" w:rsidP="00F47CF5">
      <w:pPr>
        <w:spacing w:after="0" w:line="240" w:lineRule="auto"/>
      </w:pPr>
      <w:r>
        <w:separator/>
      </w:r>
    </w:p>
  </w:endnote>
  <w:endnote w:type="continuationSeparator" w:id="0">
    <w:p w:rsidR="00A1226A" w:rsidRDefault="00A1226A" w:rsidP="00F47C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F3E" w:rsidRDefault="00861F3E">
    <w:pPr>
      <w:pStyle w:val="Piedepgina"/>
    </w:pPr>
    <w:r>
      <w:t>INTERNAL</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F3E" w:rsidRDefault="00861F3E">
    <w:pPr>
      <w:pStyle w:val="Piedepgina"/>
    </w:pPr>
    <w:r>
      <w:t>INTERNAL</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F3E" w:rsidRDefault="00861F3E">
    <w:pPr>
      <w:pStyle w:val="Piedepgina"/>
    </w:pPr>
    <w:r>
      <w:t>INTERNAL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226A" w:rsidRDefault="00A1226A" w:rsidP="00F47CF5">
      <w:pPr>
        <w:spacing w:after="0" w:line="240" w:lineRule="auto"/>
      </w:pPr>
      <w:r>
        <w:separator/>
      </w:r>
    </w:p>
  </w:footnote>
  <w:footnote w:type="continuationSeparator" w:id="0">
    <w:p w:rsidR="00A1226A" w:rsidRDefault="00A1226A" w:rsidP="00F47CF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F58" w:rsidRDefault="000F7F58">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F3E" w:rsidRDefault="00861F3E">
    <w:pPr>
      <w:pStyle w:val="Encabezado"/>
    </w:pPr>
    <w:r w:rsidRPr="00CC7F1D">
      <w:rPr>
        <w:noProof/>
        <w:lang w:eastAsia="es-MX"/>
      </w:rPr>
      <w:drawing>
        <wp:inline distT="0" distB="0" distL="0" distR="0" wp14:anchorId="34C69392" wp14:editId="4118289F">
          <wp:extent cx="1660525" cy="687705"/>
          <wp:effectExtent l="0" t="0" r="0" b="0"/>
          <wp:docPr id="1" name="Imagen 1" descr="HSBC 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HSBC ne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0525" cy="687705"/>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7F58" w:rsidRDefault="000F7F58">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924422"/>
    <w:multiLevelType w:val="hybridMultilevel"/>
    <w:tmpl w:val="64CA0F9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AF1675C"/>
    <w:multiLevelType w:val="hybridMultilevel"/>
    <w:tmpl w:val="C6F89752"/>
    <w:lvl w:ilvl="0" w:tplc="EEAAA252">
      <w:start w:val="1"/>
      <w:numFmt w:val="decimal"/>
      <w:lvlText w:val="%1."/>
      <w:lvlJc w:val="left"/>
      <w:pPr>
        <w:ind w:left="1080" w:hanging="360"/>
      </w:pPr>
      <w:rPr>
        <w:rFonts w:hint="default"/>
        <w:b w:val="0"/>
        <w:color w:val="auto"/>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 w15:restartNumberingAfterBreak="0">
    <w:nsid w:val="0EEA6118"/>
    <w:multiLevelType w:val="hybridMultilevel"/>
    <w:tmpl w:val="2510601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37A68EA"/>
    <w:multiLevelType w:val="multilevel"/>
    <w:tmpl w:val="8208E360"/>
    <w:lvl w:ilvl="0">
      <w:start w:val="1"/>
      <w:numFmt w:val="decimal"/>
      <w:lvlText w:val="%1."/>
      <w:lvlJc w:val="left"/>
      <w:pPr>
        <w:ind w:left="720" w:hanging="360"/>
      </w:pPr>
      <w:rPr>
        <w:rFonts w:hint="default"/>
      </w:rPr>
    </w:lvl>
    <w:lvl w:ilvl="1">
      <w:start w:val="3"/>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7083660"/>
    <w:multiLevelType w:val="hybridMultilevel"/>
    <w:tmpl w:val="C5029054"/>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95A4823"/>
    <w:multiLevelType w:val="hybridMultilevel"/>
    <w:tmpl w:val="190E7D22"/>
    <w:lvl w:ilvl="0" w:tplc="67689906">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AC8279F"/>
    <w:multiLevelType w:val="hybridMultilevel"/>
    <w:tmpl w:val="0F4E6FC8"/>
    <w:lvl w:ilvl="0" w:tplc="C4860620">
      <w:start w:val="1"/>
      <w:numFmt w:val="decimal"/>
      <w:lvlText w:val="%1."/>
      <w:lvlJc w:val="left"/>
      <w:pPr>
        <w:ind w:left="720" w:hanging="360"/>
      </w:pPr>
      <w:rPr>
        <w:rFonts w:hint="default"/>
        <w:color w:val="000000" w:themeColor="text1"/>
        <w:sz w:val="20"/>
        <w:szCs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D3346CB"/>
    <w:multiLevelType w:val="hybridMultilevel"/>
    <w:tmpl w:val="6A54B54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D7B03F5"/>
    <w:multiLevelType w:val="hybridMultilevel"/>
    <w:tmpl w:val="9DD478C6"/>
    <w:lvl w:ilvl="0" w:tplc="DF66DEEC">
      <w:start w:val="1"/>
      <w:numFmt w:val="decimal"/>
      <w:lvlText w:val="%1."/>
      <w:lvlJc w:val="left"/>
      <w:pPr>
        <w:ind w:left="720" w:hanging="360"/>
      </w:pPr>
      <w:rPr>
        <w:rFonts w:hint="default"/>
        <w:color w:val="0070C0"/>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84B5E7A"/>
    <w:multiLevelType w:val="hybridMultilevel"/>
    <w:tmpl w:val="8E4CA22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4CBD43A1"/>
    <w:multiLevelType w:val="hybridMultilevel"/>
    <w:tmpl w:val="221E3402"/>
    <w:lvl w:ilvl="0" w:tplc="6430E88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2B23B15"/>
    <w:multiLevelType w:val="hybridMultilevel"/>
    <w:tmpl w:val="6E565690"/>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5989182C"/>
    <w:multiLevelType w:val="hybridMultilevel"/>
    <w:tmpl w:val="F00228B0"/>
    <w:lvl w:ilvl="0" w:tplc="3724C9D8">
      <w:start w:val="1"/>
      <w:numFmt w:val="lowerLetter"/>
      <w:lvlText w:val="%1)"/>
      <w:lvlJc w:val="left"/>
      <w:pPr>
        <w:ind w:left="735" w:hanging="37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659F3EBA"/>
    <w:multiLevelType w:val="hybridMultilevel"/>
    <w:tmpl w:val="89AAC7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79365965"/>
    <w:multiLevelType w:val="hybridMultilevel"/>
    <w:tmpl w:val="881864D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5"/>
  </w:num>
  <w:num w:numId="2">
    <w:abstractNumId w:val="10"/>
  </w:num>
  <w:num w:numId="3">
    <w:abstractNumId w:val="13"/>
  </w:num>
  <w:num w:numId="4">
    <w:abstractNumId w:val="9"/>
  </w:num>
  <w:num w:numId="5">
    <w:abstractNumId w:val="14"/>
  </w:num>
  <w:num w:numId="6">
    <w:abstractNumId w:val="6"/>
  </w:num>
  <w:num w:numId="7">
    <w:abstractNumId w:val="8"/>
  </w:num>
  <w:num w:numId="8">
    <w:abstractNumId w:val="1"/>
  </w:num>
  <w:num w:numId="9">
    <w:abstractNumId w:val="3"/>
  </w:num>
  <w:num w:numId="10">
    <w:abstractNumId w:val="2"/>
  </w:num>
  <w:num w:numId="11">
    <w:abstractNumId w:val="4"/>
  </w:num>
  <w:num w:numId="12">
    <w:abstractNumId w:val="11"/>
  </w:num>
  <w:num w:numId="13">
    <w:abstractNumId w:val="7"/>
  </w:num>
  <w:num w:numId="14">
    <w:abstractNumId w:val="0"/>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09D1"/>
    <w:rsid w:val="00002265"/>
    <w:rsid w:val="00015C2E"/>
    <w:rsid w:val="00062266"/>
    <w:rsid w:val="000709FC"/>
    <w:rsid w:val="00080886"/>
    <w:rsid w:val="00084225"/>
    <w:rsid w:val="0009425B"/>
    <w:rsid w:val="000A0578"/>
    <w:rsid w:val="000A42FD"/>
    <w:rsid w:val="000B352D"/>
    <w:rsid w:val="000B4149"/>
    <w:rsid w:val="000D4258"/>
    <w:rsid w:val="000F35A7"/>
    <w:rsid w:val="000F72BE"/>
    <w:rsid w:val="000F7F58"/>
    <w:rsid w:val="00114F18"/>
    <w:rsid w:val="001207E3"/>
    <w:rsid w:val="00126B61"/>
    <w:rsid w:val="001352EA"/>
    <w:rsid w:val="00136A4B"/>
    <w:rsid w:val="00146A90"/>
    <w:rsid w:val="001579C4"/>
    <w:rsid w:val="00170CCD"/>
    <w:rsid w:val="001B28D0"/>
    <w:rsid w:val="001C0AF4"/>
    <w:rsid w:val="001C4609"/>
    <w:rsid w:val="001D0492"/>
    <w:rsid w:val="001F376E"/>
    <w:rsid w:val="00233A2C"/>
    <w:rsid w:val="002653C4"/>
    <w:rsid w:val="0027770D"/>
    <w:rsid w:val="00306C08"/>
    <w:rsid w:val="003108B6"/>
    <w:rsid w:val="003158E4"/>
    <w:rsid w:val="003462BF"/>
    <w:rsid w:val="00356AF0"/>
    <w:rsid w:val="003873E8"/>
    <w:rsid w:val="00387FFE"/>
    <w:rsid w:val="003A47F0"/>
    <w:rsid w:val="003E2869"/>
    <w:rsid w:val="004159D0"/>
    <w:rsid w:val="0041673E"/>
    <w:rsid w:val="00427608"/>
    <w:rsid w:val="00445A8A"/>
    <w:rsid w:val="00483BD5"/>
    <w:rsid w:val="004936E5"/>
    <w:rsid w:val="004A2FF0"/>
    <w:rsid w:val="005129A0"/>
    <w:rsid w:val="005C4269"/>
    <w:rsid w:val="005D6DEB"/>
    <w:rsid w:val="005F09D1"/>
    <w:rsid w:val="006031FE"/>
    <w:rsid w:val="00611FEB"/>
    <w:rsid w:val="006278D7"/>
    <w:rsid w:val="00657B98"/>
    <w:rsid w:val="00662220"/>
    <w:rsid w:val="00681231"/>
    <w:rsid w:val="00697D30"/>
    <w:rsid w:val="006A160F"/>
    <w:rsid w:val="006B797B"/>
    <w:rsid w:val="006F4DE9"/>
    <w:rsid w:val="0073380E"/>
    <w:rsid w:val="007342E8"/>
    <w:rsid w:val="007524A0"/>
    <w:rsid w:val="00753FD3"/>
    <w:rsid w:val="00774E43"/>
    <w:rsid w:val="00775143"/>
    <w:rsid w:val="00776493"/>
    <w:rsid w:val="00781CD0"/>
    <w:rsid w:val="0079130F"/>
    <w:rsid w:val="00792575"/>
    <w:rsid w:val="007C3004"/>
    <w:rsid w:val="007C3F8E"/>
    <w:rsid w:val="00861846"/>
    <w:rsid w:val="00861F3E"/>
    <w:rsid w:val="00876895"/>
    <w:rsid w:val="008A5398"/>
    <w:rsid w:val="008B669F"/>
    <w:rsid w:val="008C47CB"/>
    <w:rsid w:val="008D369B"/>
    <w:rsid w:val="008D4DBE"/>
    <w:rsid w:val="008E67BC"/>
    <w:rsid w:val="00924F3E"/>
    <w:rsid w:val="009406A7"/>
    <w:rsid w:val="00981E7F"/>
    <w:rsid w:val="00991526"/>
    <w:rsid w:val="009B04A9"/>
    <w:rsid w:val="009F4F07"/>
    <w:rsid w:val="009F5D51"/>
    <w:rsid w:val="00A1226A"/>
    <w:rsid w:val="00A20436"/>
    <w:rsid w:val="00A253FC"/>
    <w:rsid w:val="00A41119"/>
    <w:rsid w:val="00A4725E"/>
    <w:rsid w:val="00A751B7"/>
    <w:rsid w:val="00A76CAD"/>
    <w:rsid w:val="00AA4848"/>
    <w:rsid w:val="00AB370D"/>
    <w:rsid w:val="00B0464E"/>
    <w:rsid w:val="00B12927"/>
    <w:rsid w:val="00B25DDC"/>
    <w:rsid w:val="00B60D73"/>
    <w:rsid w:val="00B71B21"/>
    <w:rsid w:val="00BB7BBC"/>
    <w:rsid w:val="00BC2053"/>
    <w:rsid w:val="00BD2D6A"/>
    <w:rsid w:val="00C05057"/>
    <w:rsid w:val="00C270E6"/>
    <w:rsid w:val="00C74C98"/>
    <w:rsid w:val="00C843B0"/>
    <w:rsid w:val="00CB185C"/>
    <w:rsid w:val="00CC121E"/>
    <w:rsid w:val="00CC1ADE"/>
    <w:rsid w:val="00D14B86"/>
    <w:rsid w:val="00D16BB4"/>
    <w:rsid w:val="00D21EA2"/>
    <w:rsid w:val="00D32629"/>
    <w:rsid w:val="00D40101"/>
    <w:rsid w:val="00D94783"/>
    <w:rsid w:val="00DA5E78"/>
    <w:rsid w:val="00DB40D4"/>
    <w:rsid w:val="00DC2C09"/>
    <w:rsid w:val="00DD5E44"/>
    <w:rsid w:val="00E16AC5"/>
    <w:rsid w:val="00E252CC"/>
    <w:rsid w:val="00E26139"/>
    <w:rsid w:val="00E26A17"/>
    <w:rsid w:val="00E27746"/>
    <w:rsid w:val="00E41AAD"/>
    <w:rsid w:val="00E603CA"/>
    <w:rsid w:val="00EB47C2"/>
    <w:rsid w:val="00EC41A3"/>
    <w:rsid w:val="00EC5908"/>
    <w:rsid w:val="00EE1544"/>
    <w:rsid w:val="00F02A2F"/>
    <w:rsid w:val="00F062AC"/>
    <w:rsid w:val="00F126CF"/>
    <w:rsid w:val="00F47CF5"/>
    <w:rsid w:val="00F55231"/>
    <w:rsid w:val="00F57A2A"/>
    <w:rsid w:val="00F67016"/>
    <w:rsid w:val="00F70D37"/>
    <w:rsid w:val="00F80786"/>
    <w:rsid w:val="00F82F34"/>
    <w:rsid w:val="00F961A6"/>
    <w:rsid w:val="00FC7ECB"/>
    <w:rsid w:val="00FD0AEE"/>
    <w:rsid w:val="00FD2E4F"/>
    <w:rsid w:val="00FD7821"/>
    <w:rsid w:val="00FF0E66"/>
    <w:rsid w:val="00FF407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1BEB3C62-B7F6-4398-BF17-C4CC3EB9C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5F09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F09D1"/>
    <w:pPr>
      <w:autoSpaceDE w:val="0"/>
      <w:autoSpaceDN w:val="0"/>
      <w:adjustRightInd w:val="0"/>
      <w:spacing w:after="0" w:line="240" w:lineRule="auto"/>
    </w:pPr>
    <w:rPr>
      <w:rFonts w:ascii="Calibri" w:hAnsi="Calibri" w:cs="Calibri"/>
      <w:color w:val="000000"/>
      <w:sz w:val="24"/>
      <w:szCs w:val="24"/>
    </w:rPr>
  </w:style>
  <w:style w:type="paragraph" w:styleId="Prrafodelista">
    <w:name w:val="List Paragraph"/>
    <w:basedOn w:val="Normal"/>
    <w:uiPriority w:val="34"/>
    <w:qFormat/>
    <w:rsid w:val="002653C4"/>
    <w:pPr>
      <w:ind w:left="720"/>
      <w:contextualSpacing/>
    </w:pPr>
  </w:style>
  <w:style w:type="character" w:styleId="Hipervnculo">
    <w:name w:val="Hyperlink"/>
    <w:basedOn w:val="Fuentedeprrafopredeter"/>
    <w:uiPriority w:val="99"/>
    <w:unhideWhenUsed/>
    <w:rsid w:val="00F67016"/>
    <w:rPr>
      <w:color w:val="0563C1" w:themeColor="hyperlink"/>
      <w:u w:val="single"/>
    </w:rPr>
  </w:style>
  <w:style w:type="paragraph" w:styleId="Encabezado">
    <w:name w:val="header"/>
    <w:basedOn w:val="Normal"/>
    <w:link w:val="EncabezadoCar"/>
    <w:uiPriority w:val="99"/>
    <w:unhideWhenUsed/>
    <w:rsid w:val="00F47CF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7CF5"/>
  </w:style>
  <w:style w:type="paragraph" w:styleId="Piedepgina">
    <w:name w:val="footer"/>
    <w:basedOn w:val="Normal"/>
    <w:link w:val="PiedepginaCar"/>
    <w:unhideWhenUsed/>
    <w:rsid w:val="00F47CF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7CF5"/>
  </w:style>
  <w:style w:type="paragraph" w:styleId="Textoindependiente">
    <w:name w:val="Body Text"/>
    <w:basedOn w:val="Normal"/>
    <w:link w:val="TextoindependienteCar"/>
    <w:uiPriority w:val="1"/>
    <w:qFormat/>
    <w:rsid w:val="00776493"/>
    <w:pPr>
      <w:widowControl w:val="0"/>
      <w:autoSpaceDE w:val="0"/>
      <w:autoSpaceDN w:val="0"/>
      <w:adjustRightInd w:val="0"/>
      <w:spacing w:after="0" w:line="240" w:lineRule="auto"/>
      <w:ind w:left="4628"/>
    </w:pPr>
    <w:rPr>
      <w:rFonts w:ascii="Calibri" w:eastAsiaTheme="minorEastAsia" w:hAnsi="Calibri" w:cs="Calibri"/>
      <w:lang w:eastAsia="es-MX"/>
    </w:rPr>
  </w:style>
  <w:style w:type="character" w:customStyle="1" w:styleId="TextoindependienteCar">
    <w:name w:val="Texto independiente Car"/>
    <w:basedOn w:val="Fuentedeprrafopredeter"/>
    <w:link w:val="Textoindependiente"/>
    <w:uiPriority w:val="1"/>
    <w:rsid w:val="00776493"/>
    <w:rPr>
      <w:rFonts w:ascii="Calibri" w:eastAsiaTheme="minorEastAsia" w:hAnsi="Calibri" w:cs="Calibri"/>
      <w:lang w:eastAsia="es-MX"/>
    </w:rPr>
  </w:style>
  <w:style w:type="paragraph" w:customStyle="1" w:styleId="TableParagraph">
    <w:name w:val="Table Paragraph"/>
    <w:basedOn w:val="Normal"/>
    <w:uiPriority w:val="1"/>
    <w:qFormat/>
    <w:rsid w:val="00776493"/>
    <w:pPr>
      <w:widowControl w:val="0"/>
      <w:autoSpaceDE w:val="0"/>
      <w:autoSpaceDN w:val="0"/>
      <w:adjustRightInd w:val="0"/>
      <w:spacing w:after="0" w:line="240" w:lineRule="auto"/>
    </w:pPr>
    <w:rPr>
      <w:rFonts w:ascii="Times New Roman" w:eastAsiaTheme="minorEastAsia" w:hAnsi="Times New Roman" w:cs="Times New Roman"/>
      <w:sz w:val="24"/>
      <w:szCs w:val="24"/>
      <w:lang w:eastAsia="es-MX"/>
    </w:rPr>
  </w:style>
  <w:style w:type="table" w:customStyle="1" w:styleId="Tablaconcuadrcula1">
    <w:name w:val="Tabla con cuadrícula1"/>
    <w:basedOn w:val="Tablanormal"/>
    <w:next w:val="Tablaconcuadrcula"/>
    <w:uiPriority w:val="39"/>
    <w:rsid w:val="003A47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94785">
      <w:bodyDiv w:val="1"/>
      <w:marLeft w:val="0"/>
      <w:marRight w:val="0"/>
      <w:marTop w:val="0"/>
      <w:marBottom w:val="0"/>
      <w:divBdr>
        <w:top w:val="none" w:sz="0" w:space="0" w:color="auto"/>
        <w:left w:val="none" w:sz="0" w:space="0" w:color="auto"/>
        <w:bottom w:val="none" w:sz="0" w:space="0" w:color="auto"/>
        <w:right w:val="none" w:sz="0" w:space="0" w:color="auto"/>
      </w:divBdr>
    </w:div>
    <w:div w:id="246573806">
      <w:bodyDiv w:val="1"/>
      <w:marLeft w:val="0"/>
      <w:marRight w:val="0"/>
      <w:marTop w:val="0"/>
      <w:marBottom w:val="0"/>
      <w:divBdr>
        <w:top w:val="none" w:sz="0" w:space="0" w:color="auto"/>
        <w:left w:val="none" w:sz="0" w:space="0" w:color="auto"/>
        <w:bottom w:val="none" w:sz="0" w:space="0" w:color="auto"/>
        <w:right w:val="none" w:sz="0" w:space="0" w:color="auto"/>
      </w:divBdr>
    </w:div>
    <w:div w:id="635573883">
      <w:bodyDiv w:val="1"/>
      <w:marLeft w:val="0"/>
      <w:marRight w:val="0"/>
      <w:marTop w:val="0"/>
      <w:marBottom w:val="0"/>
      <w:divBdr>
        <w:top w:val="none" w:sz="0" w:space="0" w:color="auto"/>
        <w:left w:val="none" w:sz="0" w:space="0" w:color="auto"/>
        <w:bottom w:val="none" w:sz="0" w:space="0" w:color="auto"/>
        <w:right w:val="none" w:sz="0" w:space="0" w:color="auto"/>
      </w:divBdr>
    </w:div>
    <w:div w:id="806582916">
      <w:bodyDiv w:val="1"/>
      <w:marLeft w:val="0"/>
      <w:marRight w:val="0"/>
      <w:marTop w:val="0"/>
      <w:marBottom w:val="0"/>
      <w:divBdr>
        <w:top w:val="none" w:sz="0" w:space="0" w:color="auto"/>
        <w:left w:val="none" w:sz="0" w:space="0" w:color="auto"/>
        <w:bottom w:val="none" w:sz="0" w:space="0" w:color="auto"/>
        <w:right w:val="none" w:sz="0" w:space="0" w:color="auto"/>
      </w:divBdr>
    </w:div>
    <w:div w:id="1106265333">
      <w:bodyDiv w:val="1"/>
      <w:marLeft w:val="0"/>
      <w:marRight w:val="0"/>
      <w:marTop w:val="0"/>
      <w:marBottom w:val="0"/>
      <w:divBdr>
        <w:top w:val="none" w:sz="0" w:space="0" w:color="auto"/>
        <w:left w:val="none" w:sz="0" w:space="0" w:color="auto"/>
        <w:bottom w:val="none" w:sz="0" w:space="0" w:color="auto"/>
        <w:right w:val="none" w:sz="0" w:space="0" w:color="auto"/>
      </w:divBdr>
    </w:div>
    <w:div w:id="1234586133">
      <w:bodyDiv w:val="1"/>
      <w:marLeft w:val="0"/>
      <w:marRight w:val="0"/>
      <w:marTop w:val="0"/>
      <w:marBottom w:val="0"/>
      <w:divBdr>
        <w:top w:val="none" w:sz="0" w:space="0" w:color="auto"/>
        <w:left w:val="none" w:sz="0" w:space="0" w:color="auto"/>
        <w:bottom w:val="none" w:sz="0" w:space="0" w:color="auto"/>
        <w:right w:val="none" w:sz="0" w:space="0" w:color="auto"/>
      </w:divBdr>
    </w:div>
    <w:div w:id="1363625085">
      <w:bodyDiv w:val="1"/>
      <w:marLeft w:val="0"/>
      <w:marRight w:val="0"/>
      <w:marTop w:val="0"/>
      <w:marBottom w:val="0"/>
      <w:divBdr>
        <w:top w:val="none" w:sz="0" w:space="0" w:color="auto"/>
        <w:left w:val="none" w:sz="0" w:space="0" w:color="auto"/>
        <w:bottom w:val="none" w:sz="0" w:space="0" w:color="auto"/>
        <w:right w:val="none" w:sz="0" w:space="0" w:color="auto"/>
      </w:divBdr>
    </w:div>
    <w:div w:id="1736465451">
      <w:bodyDiv w:val="1"/>
      <w:marLeft w:val="0"/>
      <w:marRight w:val="0"/>
      <w:marTop w:val="0"/>
      <w:marBottom w:val="0"/>
      <w:divBdr>
        <w:top w:val="none" w:sz="0" w:space="0" w:color="auto"/>
        <w:left w:val="none" w:sz="0" w:space="0" w:color="auto"/>
        <w:bottom w:val="none" w:sz="0" w:space="0" w:color="auto"/>
        <w:right w:val="none" w:sz="0" w:space="0" w:color="auto"/>
      </w:divBdr>
    </w:div>
    <w:div w:id="2042196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Pages>
  <Words>5376</Words>
  <Characters>28311</Characters>
  <Application>Microsoft Office Word</Application>
  <DocSecurity>4</DocSecurity>
  <Lines>962</Lines>
  <Paragraphs>150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Alejandra Nava Sánchez</dc:creator>
  <cp:keywords>INTERNAL</cp:keywords>
  <dc:description>INTERNAL</dc:description>
  <cp:lastModifiedBy>claudia.narezo@hsbc.com.mx</cp:lastModifiedBy>
  <cp:revision>2</cp:revision>
  <dcterms:created xsi:type="dcterms:W3CDTF">2018-09-05T23:25:00Z</dcterms:created>
  <dcterms:modified xsi:type="dcterms:W3CDTF">2018-09-05T23:25:00Z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INTERNAL</vt:lpwstr>
  </property>
  <property fmtid="{D5CDD505-2E9C-101B-9397-08002B2CF9AE}" pid="3" name="Source">
    <vt:lpwstr>Internal</vt:lpwstr>
  </property>
  <property fmtid="{D5CDD505-2E9C-101B-9397-08002B2CF9AE}" pid="4" name="Footers">
    <vt:lpwstr>Footers</vt:lpwstr>
  </property>
  <property fmtid="{D5CDD505-2E9C-101B-9397-08002B2CF9AE}" pid="5" name="DocClassification">
    <vt:lpwstr>CLAINTERN</vt:lpwstr>
  </property>
</Properties>
</file>